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
          <w:color w:val="auto"/>
          <w:spacing w:val="20"/>
          <w:sz w:val="48"/>
          <w:szCs w:val="48"/>
          <w:highlight w:val="none"/>
          <w:lang w:eastAsia="zh-CN"/>
        </w:rPr>
      </w:pPr>
      <w:r>
        <w:rPr>
          <w:rFonts w:hint="eastAsia" w:ascii="宋体" w:hAnsi="宋体" w:cs="宋体"/>
          <w:b/>
          <w:color w:val="auto"/>
          <w:spacing w:val="20"/>
          <w:sz w:val="48"/>
          <w:szCs w:val="48"/>
          <w:highlight w:val="none"/>
          <w:lang w:eastAsia="zh-CN"/>
        </w:rPr>
        <w:t xml:space="preserve">通扬运河市区段水上交通管制购买第三方服务项目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招标文件编号：</w:t>
      </w:r>
      <w:bookmarkStart w:id="73" w:name="_GoBack"/>
      <w:r/>
      <w:bookmarkEnd w:id="73"/>
      <w:r>
        <w:rPr>
          <w:rFonts w:hint="eastAsia" w:ascii="宋体" w:hAnsi="宋体" w:cs="宋体"/>
          <w:bCs/>
          <w:color w:val="auto"/>
          <w:sz w:val="36"/>
          <w:szCs w:val="36"/>
          <w:highlight w:val="none"/>
        </w:rPr>
        <w:t xml:space="preserve">JSZC-320600-ZRJS-G2025-0107</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pStyle w:val="873"/>
        <w:rPr>
          <w:rFonts w:ascii="宋体" w:hAnsi="宋体" w:eastAsia="宋体" w:cs="宋体"/>
          <w:color w:val="auto"/>
          <w:sz w:val="32"/>
          <w:highlight w:val="none"/>
        </w:rPr>
      </w:pPr>
      <w:r>
        <w:rPr>
          <w:rFonts w:ascii="宋体" w:hAnsi="宋体" w:eastAsia="宋体" w:cs="宋体"/>
          <w:color w:val="auto"/>
          <w:sz w:val="32"/>
          <w:highlight w:val="none"/>
        </w:rPr>
      </w:r>
      <w:r/>
    </w:p>
    <w:p>
      <w:pPr>
        <w:ind w:right="0"/>
        <w:jc w:val="center"/>
        <w:keepLines w:val="0"/>
        <w:keepNext w:val="0"/>
        <w:pageBreakBefore w:val="0"/>
        <w:spacing w:before="120" w:after="120" w:line="580" w:lineRule="exact"/>
        <w:widowControl w:val="off"/>
        <w:rPr>
          <w:rFonts w:hint="eastAsia" w:ascii="宋体" w:hAnsi="宋体" w:eastAsia="宋体" w:cs="宋体"/>
          <w:b/>
          <w:color w:val="auto"/>
          <w:spacing w:val="20"/>
          <w:sz w:val="40"/>
          <w:szCs w:val="48"/>
          <w:highlight w:val="none"/>
          <w:lang w:eastAsia="zh-CN"/>
        </w:rPr>
      </w:pPr>
      <w:r>
        <w:rPr>
          <w:rFonts w:hint="eastAsia" w:ascii="宋体" w:hAnsi="宋体" w:cs="宋体"/>
          <w:b/>
          <w:color w:val="auto"/>
          <w:spacing w:val="20"/>
          <w:sz w:val="40"/>
          <w:szCs w:val="48"/>
          <w:highlight w:val="none"/>
          <w:lang w:eastAsia="zh-CN"/>
        </w:rPr>
        <w:t xml:space="preserve">南通市交通运输综合行政执法支队</w:t>
      </w:r>
      <w:r/>
    </w:p>
    <w:p>
      <w:pPr>
        <w:ind w:left="0" w:right="119"/>
        <w:jc w:val="center"/>
        <w:keepLines w:val="0"/>
        <w:keepNext w:val="0"/>
        <w:pageBreakBefore w:val="0"/>
        <w:spacing w:before="240" w:after="240" w:line="580" w:lineRule="exact"/>
        <w:widowControl w:val="off"/>
        <w:rPr>
          <w:rFonts w:ascii="宋体" w:hAnsi="宋体" w:cs="宋体"/>
          <w:b/>
          <w:color w:val="auto"/>
          <w:spacing w:val="20"/>
          <w:sz w:val="40"/>
          <w:szCs w:val="48"/>
          <w:highlight w:val="none"/>
        </w:rPr>
      </w:pPr>
      <w:r>
        <w:rPr>
          <w:rFonts w:hint="eastAsia" w:ascii="宋体" w:hAnsi="宋体" w:cs="宋体"/>
          <w:b/>
          <w:color w:val="auto"/>
          <w:spacing w:val="20"/>
          <w:sz w:val="40"/>
          <w:szCs w:val="48"/>
          <w:highlight w:val="none"/>
        </w:rPr>
        <w:t xml:space="preserve">2025年</w:t>
      </w:r>
      <w:r>
        <w:rPr>
          <w:rFonts w:hint="eastAsia" w:ascii="宋体" w:hAnsi="宋体" w:cs="宋体"/>
          <w:b/>
          <w:color w:val="auto"/>
          <w:spacing w:val="20"/>
          <w:sz w:val="40"/>
          <w:szCs w:val="48"/>
          <w:highlight w:val="none"/>
          <w:lang w:val="en-US" w:eastAsia="zh-CN"/>
        </w:rPr>
        <w:t xml:space="preserve">12</w:t>
      </w:r>
      <w:r>
        <w:rPr>
          <w:rFonts w:hint="eastAsia" w:ascii="宋体" w:hAnsi="宋体" w:cs="宋体"/>
          <w:b/>
          <w:color w:val="auto"/>
          <w:spacing w:val="20"/>
          <w:sz w:val="40"/>
          <w:szCs w:val="48"/>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 录</w:t>
      </w:r>
      <w:r/>
    </w:p>
    <w:p>
      <w:pPr>
        <w:ind w:firstLine="640"/>
        <w:spacing w:line="1000" w:lineRule="exact"/>
        <w:tabs>
          <w:tab w:val="left" w:pos="7740" w:leader="none"/>
        </w:tabs>
        <w:rPr>
          <w:rFonts w:ascii="宋体" w:hAnsi="宋体" w:cs="宋体"/>
          <w:bCs/>
          <w:color w:val="auto"/>
          <w:sz w:val="32"/>
          <w:szCs w:val="32"/>
          <w:highlight w:val="none"/>
        </w:rPr>
      </w:pPr>
      <w:r>
        <w:rPr>
          <w:rFonts w:ascii="宋体" w:hAnsi="宋体" w:cs="宋体"/>
          <w:bCs/>
          <w:color w:val="auto"/>
          <w:sz w:val="32"/>
          <w:szCs w:val="32"/>
          <w:highlight w:val="none"/>
        </w:rPr>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  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  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  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  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500" w:lineRule="exact"/>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  投标邀请</w:t>
      </w:r>
      <w:r/>
    </w:p>
    <w:p>
      <w:pPr>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南通市交通运输综合行政执法支队</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通扬运河市区段水上交通管制购买第三方服务项目</w:t>
      </w:r>
      <w:r>
        <w:rPr>
          <w:rFonts w:hint="eastAsia" w:ascii="宋体" w:hAnsi="宋体" w:cs="宋体"/>
          <w:color w:val="auto"/>
          <w:sz w:val="28"/>
          <w:szCs w:val="28"/>
          <w:highlight w:val="none"/>
        </w:rPr>
        <w:t xml:space="preserve">](项目编号:JSZC-320600-ZRJS-G2025-0107</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)进行公开招标采购，欢迎符合条件的投标人投标。</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通扬运河市区段水上交通管制购买第三方服务</w:t>
      </w:r>
      <w:r>
        <w:rPr>
          <w:rFonts w:hint="eastAsia" w:ascii="宋体" w:hAnsi="宋体" w:cs="宋体"/>
          <w:color w:val="auto"/>
          <w:sz w:val="28"/>
          <w:szCs w:val="28"/>
          <w:highlight w:val="none"/>
        </w:rPr>
        <w:t xml:space="preserve">）招标项目的潜在投标人应在（苏采云系统内免费）获取招标文件，并于2025年</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23</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分（北京时间）前递交投标文件。</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1.项目编号：JSZC-320600-ZRJS-G2025-0107</w:t>
      </w:r>
      <w:r/>
    </w:p>
    <w:p>
      <w:pPr>
        <w:ind w:firstLine="56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通扬运河市区段水上交通管制购买第三方服务项目</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8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4.所属行业：</w:t>
      </w:r>
      <w:r>
        <w:rPr>
          <w:rFonts w:hint="eastAsia" w:ascii="宋体" w:hAnsi="宋体" w:cs="宋体"/>
          <w:color w:val="auto"/>
          <w:sz w:val="28"/>
          <w:szCs w:val="28"/>
          <w:highlight w:val="none"/>
          <w:lang w:val="en-US" w:eastAsia="zh-CN"/>
        </w:rPr>
        <w:t xml:space="preserve">租赁和商务服务业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其他未列明行业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188.60</w:t>
      </w:r>
      <w:r>
        <w:rPr>
          <w:rFonts w:hint="eastAsia" w:ascii="宋体" w:hAnsi="宋体" w:cs="宋体"/>
          <w:color w:val="auto"/>
          <w:sz w:val="28"/>
          <w:szCs w:val="28"/>
          <w:highlight w:val="none"/>
        </w:rPr>
        <w:t xml:space="preserve">万元/年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188.60</w:t>
      </w:r>
      <w:r>
        <w:rPr>
          <w:rFonts w:hint="eastAsia" w:ascii="宋体" w:hAnsi="宋体" w:cs="宋体"/>
          <w:color w:val="auto"/>
          <w:sz w:val="28"/>
          <w:szCs w:val="28"/>
          <w:highlight w:val="none"/>
        </w:rPr>
        <w:t xml:space="preserve">万元/年，投标报价超过最高限价按无效标处理。</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7.采购需求：详见招标文件，请仔细研究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8.合同履行期限：通扬运河市区段水上交通管制购买第三方运营期为一年。合同到期经</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rPr>
        <w:t xml:space="preserve">人考核，服务商各项考核指标良好、服务满意度较好的，在不突破原中标价的基础上，可视情续签服务合同，续签合同不超过2年（一年一签）。</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9.本项目是否接受联合体投标：否。</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二、投标人的资格要求：</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2.提供有效的营业执照副本复印件加盖公章；</w:t>
      </w:r>
      <w:r/>
    </w:p>
    <w:p>
      <w:pPr>
        <w:ind w:firstLine="56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3.本项目的特定资格要求：</w:t>
      </w:r>
      <w:r>
        <w:rPr>
          <w:rFonts w:hint="eastAsia" w:ascii="宋体" w:hAnsi="宋体" w:cs="宋体"/>
          <w:color w:val="auto"/>
          <w:sz w:val="28"/>
          <w:szCs w:val="28"/>
          <w:highlight w:val="none"/>
          <w:u w:val="single"/>
          <w:lang w:val="en-US" w:eastAsia="zh-CN"/>
        </w:rPr>
        <w:t xml:space="preserve">无；</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4.落实政府采购政策需满足的资格要求：</w:t>
      </w:r>
      <w:r>
        <w:rPr>
          <w:rFonts w:hint="eastAsia" w:ascii="宋体" w:hAnsi="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089"/>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5.本项目不接受分包。</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3.1潜在投标人访问电子招标响应交易平台的网络地址和方法：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投标人操作手册》。</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3.4招标文件（后缀名为“.kedt”）、投标人操作手册及政府采购客户端工具可通过“苏采云”系统--已报名项目--报名详情页面内相应链接进行下载。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3.5招标人或采购代理机构将数据电文形式的招标文件加载至“苏采云”系统，供潜在投标人下载或者查阅。</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3.6请潜在投标人提前安装相应的控件（详见《江苏省政府采购管理交易系统（苏采云）投标人操作手册》）并使用谷歌浏览器登录“苏采云”系统参与不见面开评标。</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投标投标人一端参与交互的人员将均被视为是投标投标人的授权委托人或法定代表人，投标投标人不得以不承认交互人员的资格或身份等为借口抵赖推脱，投标投标人自行承担随意更换人员所导致的一切后果。为顺利实现本项目开评标的远程交互，建议投标投标人配置的硬件设施有：电脑或手机、高速稳定的网络、电源（不间断）、音视频设备（话筒、耳麦、高清摄像头、音响）等。为保证交互效果，建议投标投标人选择封闭安静的地点参与远程交互。因投标投标人自身软硬件问题而导致在交互过程中出现不稳定或中断等情况的，由投标投标人自身承担一切后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560"/>
        <w:spacing w:line="480" w:lineRule="exact"/>
        <w:rPr>
          <w:rStyle w:val="1150"/>
          <w:rFonts w:ascii="宋体" w:hAnsi="宋体" w:cs="宋体"/>
          <w:color w:val="auto"/>
          <w:sz w:val="28"/>
          <w:szCs w:val="28"/>
          <w:highlight w:val="none"/>
        </w:rPr>
      </w:pPr>
      <w:r>
        <w:rPr>
          <w:rStyle w:val="1150"/>
          <w:rFonts w:hint="eastAsia" w:ascii="宋体" w:hAnsi="宋体" w:cs="宋体"/>
          <w:color w:val="auto"/>
          <w:sz w:val="28"/>
          <w:szCs w:val="28"/>
          <w:highlight w:val="none"/>
        </w:rPr>
        <w:t xml:space="preserve">1.投标文件接收截止及开标时间：</w:t>
      </w:r>
      <w:r>
        <w:rPr>
          <w:rStyle w:val="1150"/>
          <w:rFonts w:hint="eastAsia" w:ascii="宋体" w:hAnsi="宋体" w:cs="宋体"/>
          <w:b/>
          <w:bCs/>
          <w:color w:val="auto"/>
          <w:sz w:val="28"/>
          <w:szCs w:val="28"/>
          <w:highlight w:val="none"/>
        </w:rPr>
        <w:t xml:space="preserve">2025年</w:t>
      </w:r>
      <w:r>
        <w:rPr>
          <w:rStyle w:val="1150"/>
          <w:rFonts w:hint="eastAsia" w:ascii="宋体" w:hAnsi="宋体" w:cs="宋体"/>
          <w:b/>
          <w:bCs/>
          <w:color w:val="auto"/>
          <w:sz w:val="28"/>
          <w:szCs w:val="28"/>
          <w:highlight w:val="none"/>
          <w:lang w:val="en-US" w:eastAsia="zh-CN"/>
        </w:rPr>
        <w:t xml:space="preserve">12</w:t>
      </w:r>
      <w:r>
        <w:rPr>
          <w:rStyle w:val="1150"/>
          <w:rFonts w:hint="eastAsia" w:ascii="宋体" w:hAnsi="宋体" w:cs="宋体"/>
          <w:b/>
          <w:bCs/>
          <w:color w:val="auto"/>
          <w:sz w:val="28"/>
          <w:szCs w:val="28"/>
          <w:highlight w:val="none"/>
        </w:rPr>
        <w:t xml:space="preserve">月</w:t>
      </w:r>
      <w:r>
        <w:rPr>
          <w:rStyle w:val="1150"/>
          <w:rFonts w:hint="eastAsia" w:ascii="宋体" w:hAnsi="宋体" w:cs="宋体"/>
          <w:b/>
          <w:bCs/>
          <w:color w:val="auto"/>
          <w:sz w:val="28"/>
          <w:szCs w:val="28"/>
          <w:highlight w:val="none"/>
          <w:lang w:val="en-US" w:eastAsia="zh-CN"/>
        </w:rPr>
        <w:t xml:space="preserve">23</w:t>
      </w:r>
      <w:r>
        <w:rPr>
          <w:rStyle w:val="1150"/>
          <w:rFonts w:hint="eastAsia" w:ascii="宋体" w:hAnsi="宋体" w:cs="宋体"/>
          <w:b/>
          <w:bCs/>
          <w:color w:val="auto"/>
          <w:sz w:val="28"/>
          <w:szCs w:val="28"/>
          <w:highlight w:val="none"/>
        </w:rPr>
        <w:t xml:space="preserve">日</w:t>
      </w:r>
      <w:r>
        <w:rPr>
          <w:rStyle w:val="1150"/>
          <w:rFonts w:hint="eastAsia" w:ascii="宋体" w:hAnsi="宋体" w:cs="宋体"/>
          <w:b/>
          <w:bCs/>
          <w:color w:val="auto"/>
          <w:sz w:val="28"/>
          <w:szCs w:val="28"/>
          <w:highlight w:val="none"/>
          <w:lang w:val="en-US" w:eastAsia="zh-CN"/>
        </w:rPr>
        <w:t xml:space="preserve">14</w:t>
      </w:r>
      <w:r>
        <w:rPr>
          <w:rStyle w:val="1150"/>
          <w:rFonts w:hint="eastAsia" w:ascii="宋体" w:hAnsi="宋体" w:cs="宋体"/>
          <w:b/>
          <w:bCs/>
          <w:color w:val="auto"/>
          <w:sz w:val="28"/>
          <w:szCs w:val="28"/>
          <w:highlight w:val="none"/>
        </w:rPr>
        <w:t xml:space="preserve">点</w:t>
      </w:r>
      <w:r>
        <w:rPr>
          <w:rStyle w:val="1150"/>
          <w:rFonts w:hint="eastAsia" w:ascii="宋体" w:hAnsi="宋体" w:cs="宋体"/>
          <w:b/>
          <w:bCs/>
          <w:color w:val="auto"/>
          <w:sz w:val="28"/>
          <w:szCs w:val="28"/>
          <w:highlight w:val="none"/>
          <w:lang w:val="en-US" w:eastAsia="zh-CN"/>
        </w:rPr>
        <w:t xml:space="preserve">00</w:t>
      </w:r>
      <w:r>
        <w:rPr>
          <w:rStyle w:val="1150"/>
          <w:rFonts w:hint="eastAsia" w:ascii="宋体" w:hAnsi="宋体" w:cs="宋体"/>
          <w:b/>
          <w:bCs/>
          <w:color w:val="auto"/>
          <w:sz w:val="28"/>
          <w:szCs w:val="28"/>
          <w:highlight w:val="none"/>
        </w:rPr>
        <w:t xml:space="preserve">分（北京时间）</w:t>
      </w:r>
      <w:r>
        <w:rPr>
          <w:rStyle w:val="1150"/>
          <w:rFonts w:hint="eastAsia" w:ascii="宋体" w:hAnsi="宋体" w:cs="宋体"/>
          <w:color w:val="auto"/>
          <w:sz w:val="28"/>
          <w:szCs w:val="28"/>
          <w:highlight w:val="none"/>
        </w:rPr>
        <w:t xml:space="preserve">，逾时“苏采云”系统将拒绝接受上传投标文件电子文档。</w:t>
      </w:r>
      <w:r/>
    </w:p>
    <w:p>
      <w:pPr>
        <w:ind w:firstLine="560"/>
        <w:spacing w:line="480" w:lineRule="exact"/>
        <w:rPr>
          <w:rStyle w:val="1150"/>
          <w:rFonts w:ascii="宋体" w:hAnsi="宋体" w:cs="宋体"/>
          <w:color w:val="auto"/>
          <w:sz w:val="28"/>
          <w:szCs w:val="28"/>
          <w:highlight w:val="none"/>
          <w:lang w:eastAsia="en-US"/>
        </w:rPr>
      </w:pPr>
      <w:r>
        <w:rPr>
          <w:rStyle w:val="1150"/>
          <w:rFonts w:hint="eastAsia" w:ascii="宋体" w:hAnsi="宋体" w:cs="宋体"/>
          <w:color w:val="auto"/>
          <w:sz w:val="28"/>
          <w:szCs w:val="28"/>
          <w:highlight w:val="none"/>
          <w:lang w:eastAsia="en-US"/>
        </w:rPr>
        <w:t xml:space="preserve">2.地点：“苏采云”系统（网址：http://jszfcg.jsczt.cn/）</w:t>
      </w:r>
      <w:r/>
    </w:p>
    <w:p>
      <w:pPr>
        <w:ind w:firstLine="560"/>
        <w:spacing w:line="480" w:lineRule="exact"/>
        <w:rPr>
          <w:rStyle w:val="1150"/>
          <w:rFonts w:ascii="宋体" w:hAnsi="宋体" w:cs="宋体"/>
          <w:color w:val="auto"/>
          <w:sz w:val="28"/>
          <w:szCs w:val="28"/>
          <w:highlight w:val="none"/>
        </w:rPr>
      </w:pPr>
      <w:r>
        <w:rPr>
          <w:rStyle w:val="1150"/>
          <w:rFonts w:hint="eastAsia" w:ascii="宋体" w:hAnsi="宋体" w:cs="宋体"/>
          <w:color w:val="auto"/>
          <w:sz w:val="28"/>
          <w:szCs w:val="28"/>
          <w:highlight w:val="none"/>
        </w:rPr>
        <w:t xml:space="preserve">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150"/>
          <w:rFonts w:hint="eastAsia" w:ascii="宋体" w:hAnsi="宋体" w:cs="宋体"/>
          <w:b/>
          <w:bCs/>
          <w:color w:val="auto"/>
          <w:sz w:val="28"/>
          <w:szCs w:val="28"/>
          <w:highlight w:val="none"/>
        </w:rPr>
        <w:t xml:space="preserve">投标人解密限定在开标后30分钟之内完成</w:t>
      </w:r>
      <w:r>
        <w:rPr>
          <w:rStyle w:val="1150"/>
          <w:rFonts w:hint="eastAsia" w:ascii="宋体" w:hAnsi="宋体" w:cs="宋体"/>
          <w:color w:val="auto"/>
          <w:sz w:val="28"/>
          <w:szCs w:val="28"/>
          <w:highlight w:val="none"/>
        </w:rPr>
        <w:t xml:space="preserve">。</w:t>
      </w:r>
      <w:r>
        <w:rPr>
          <w:rStyle w:val="1150"/>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3.项目演示：无。</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采购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件备查或提供有关部门出具的相关证明文件。但中标人应做好提交声明函、承诺函、认真、业绩等相应原件的核查准备；核查后发现虚假或违背承诺的，依照相关法律法规规定处理。</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1.招标人信息</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南通市交通运输综合行政执法支队</w:t>
      </w:r>
      <w:r>
        <w:rPr>
          <w:rFonts w:hint="eastAsia" w:ascii="宋体" w:hAnsi="宋体" w:cs="宋体"/>
          <w:color w:val="auto"/>
          <w:spacing w:val="7"/>
          <w:sz w:val="28"/>
          <w:szCs w:val="28"/>
          <w:highlight w:val="none"/>
        </w:rPr>
        <w:t xml:space="preserve">　　　　　　　　　　　　</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地址：江苏省南通市永和路</w:t>
      </w:r>
      <w:r>
        <w:rPr>
          <w:rFonts w:hint="eastAsia" w:ascii="宋体" w:hAnsi="宋体" w:cs="宋体"/>
          <w:color w:val="auto"/>
          <w:spacing w:val="7"/>
          <w:sz w:val="28"/>
          <w:szCs w:val="28"/>
          <w:highlight w:val="none"/>
          <w:lang w:val="en-US" w:eastAsia="zh-CN"/>
        </w:rPr>
        <w:t xml:space="preserve">1129</w:t>
      </w:r>
      <w:r>
        <w:rPr>
          <w:rFonts w:hint="eastAsia" w:ascii="宋体" w:hAnsi="宋体" w:cs="宋体"/>
          <w:color w:val="auto"/>
          <w:spacing w:val="7"/>
          <w:sz w:val="28"/>
          <w:szCs w:val="28"/>
          <w:highlight w:val="none"/>
        </w:rPr>
        <w:t xml:space="preserve">号</w:t>
      </w:r>
      <w:r/>
    </w:p>
    <w:p>
      <w:pPr>
        <w:ind w:firstLine="588"/>
        <w:spacing w:line="480" w:lineRule="exact"/>
        <w:shd w:val="clear" w:color="auto" w:fill="ffffff"/>
        <w:rPr>
          <w:rFonts w:hint="default" w:ascii="宋体" w:hAnsi="宋体" w:eastAsia="宋体" w:cs="宋体"/>
          <w:color w:val="auto"/>
          <w:spacing w:val="7"/>
          <w:sz w:val="28"/>
          <w:szCs w:val="28"/>
          <w:highlight w:val="none"/>
          <w:lang w:val="en-US" w:eastAsia="zh-CN"/>
        </w:rPr>
      </w:pPr>
      <w:r>
        <w:rPr>
          <w:rFonts w:hint="eastAsia" w:ascii="宋体" w:hAnsi="宋体" w:cs="宋体"/>
          <w:color w:val="auto"/>
          <w:spacing w:val="7"/>
          <w:sz w:val="28"/>
          <w:szCs w:val="28"/>
          <w:highlight w:val="none"/>
        </w:rPr>
        <w:t xml:space="preserve">联系人:</w:t>
      </w:r>
      <w:r>
        <w:rPr>
          <w:rFonts w:hint="eastAsia" w:ascii="宋体" w:hAnsi="宋体" w:cs="宋体"/>
          <w:color w:val="auto"/>
          <w:spacing w:val="7"/>
          <w:sz w:val="28"/>
          <w:szCs w:val="28"/>
          <w:highlight w:val="none"/>
          <w:lang w:val="en-US" w:eastAsia="zh-CN"/>
        </w:rPr>
        <w:t xml:space="preserve">王新宇 </w:t>
      </w:r>
      <w:r/>
    </w:p>
    <w:p>
      <w:pPr>
        <w:ind w:firstLine="588"/>
        <w:spacing w:line="480" w:lineRule="exact"/>
        <w:shd w:val="clear" w:color="auto" w:fill="ffffff"/>
        <w:rPr>
          <w:rFonts w:hint="default" w:ascii="宋体" w:hAnsi="宋体" w:eastAsia="宋体" w:cs="宋体"/>
          <w:color w:val="auto"/>
          <w:spacing w:val="7"/>
          <w:sz w:val="28"/>
          <w:szCs w:val="28"/>
          <w:highlight w:val="none"/>
          <w:lang w:val="en-US" w:eastAsia="zh-CN"/>
        </w:rPr>
      </w:pPr>
      <w:r>
        <w:rPr>
          <w:rFonts w:hint="eastAsia" w:ascii="宋体" w:hAnsi="宋体" w:cs="宋体"/>
          <w:color w:val="auto"/>
          <w:spacing w:val="7"/>
          <w:sz w:val="28"/>
          <w:szCs w:val="28"/>
          <w:highlight w:val="none"/>
        </w:rPr>
        <w:t xml:space="preserve">联系方式: </w:t>
      </w:r>
      <w:r>
        <w:rPr>
          <w:rFonts w:hint="eastAsia" w:ascii="宋体" w:hAnsi="宋体" w:cs="宋体"/>
          <w:color w:val="auto"/>
          <w:spacing w:val="7"/>
          <w:sz w:val="28"/>
          <w:szCs w:val="28"/>
          <w:highlight w:val="none"/>
          <w:lang w:val="en-US" w:eastAsia="zh-CN"/>
        </w:rPr>
        <w:t xml:space="preserve">0513-83559885</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2.招标代理机构信息</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江苏中润工程建设咨询有限公司</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2.招标人信用承诺书</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3.公平竞争审查二维码</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  投标须知</w:t>
      </w:r>
      <w:r/>
    </w:p>
    <w:p>
      <w:pPr>
        <w:pStyle w:val="1023"/>
        <w:ind w:firstLine="562"/>
        <w:spacing w:before="0" w:after="0" w:line="500" w:lineRule="exact"/>
        <w:rPr>
          <w:rFonts w:ascii="宋体" w:hAnsi="宋体" w:eastAsia="宋体" w:cs="宋体"/>
          <w:color w:val="auto"/>
          <w:sz w:val="28"/>
          <w:szCs w:val="28"/>
          <w:highlight w:val="none"/>
        </w:rPr>
      </w:pPr>
      <w:r/>
      <w:bookmarkStart w:id="0" w:name="_Toc513029203"/>
      <w:r/>
      <w:bookmarkEnd w:id="0"/>
      <w:r/>
      <w:bookmarkStart w:id="1" w:name="_Toc20823275"/>
      <w:r/>
      <w:bookmarkEnd w:id="1"/>
      <w:r/>
      <w:bookmarkStart w:id="2" w:name="_Toc16938519"/>
      <w:r/>
      <w:bookmarkEnd w:id="2"/>
      <w:r/>
      <w:bookmarkStart w:id="3" w:name="_Toc120614214"/>
      <w:r/>
      <w:bookmarkEnd w:id="3"/>
      <w:r>
        <w:rPr>
          <w:rFonts w:hint="eastAsia" w:ascii="宋体" w:hAnsi="宋体" w:eastAsia="宋体" w:cs="宋体"/>
          <w:color w:val="auto"/>
          <w:sz w:val="28"/>
          <w:szCs w:val="28"/>
          <w:highlight w:val="none"/>
        </w:rPr>
        <w:t xml:space="preserve">一、总则</w:t>
      </w:r>
      <w:r/>
    </w:p>
    <w:p>
      <w:pPr>
        <w:ind w:firstLine="560"/>
        <w:spacing w:line="500" w:lineRule="exact"/>
        <w:rPr>
          <w:rFonts w:ascii="宋体" w:hAnsi="宋体" w:cs="宋体"/>
          <w:color w:val="auto"/>
          <w:sz w:val="28"/>
          <w:szCs w:val="28"/>
          <w:highlight w:val="none"/>
        </w:rPr>
      </w:pPr>
      <w:r/>
      <w:bookmarkStart w:id="4" w:name="_Hlt16619475"/>
      <w:r/>
      <w:bookmarkEnd w:id="4"/>
      <w:r/>
      <w:bookmarkStart w:id="5" w:name="_Toc20823276"/>
      <w:r/>
      <w:bookmarkEnd w:id="5"/>
      <w:r/>
      <w:bookmarkStart w:id="6" w:name="_Toc16938520"/>
      <w:r/>
      <w:bookmarkEnd w:id="6"/>
      <w:r/>
      <w:bookmarkStart w:id="7" w:name="_Toc458694821"/>
      <w:r/>
      <w:bookmarkEnd w:id="7"/>
      <w:r/>
      <w:bookmarkStart w:id="8" w:name="_Toc513029204"/>
      <w:r/>
      <w:bookmarkEnd w:id="8"/>
      <w:r>
        <w:rPr>
          <w:rFonts w:hint="eastAsia" w:ascii="宋体" w:hAnsi="宋体" w:cs="宋体"/>
          <w:color w:val="auto"/>
          <w:sz w:val="28"/>
          <w:szCs w:val="28"/>
          <w:highlight w:val="none"/>
        </w:rPr>
        <w:t xml:space="preserve">1.招标方式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 本次招标采取公开招标方式，本招标文件仅适用于招标公告中所述项目。</w:t>
      </w:r>
      <w:r/>
    </w:p>
    <w:p>
      <w:pPr>
        <w:ind w:firstLine="560"/>
        <w:spacing w:line="500" w:lineRule="exact"/>
        <w:rPr>
          <w:rFonts w:ascii="宋体" w:hAnsi="宋体" w:cs="宋体"/>
          <w:color w:val="auto"/>
          <w:sz w:val="28"/>
          <w:szCs w:val="28"/>
          <w:highlight w:val="none"/>
        </w:rPr>
      </w:pPr>
      <w:r/>
      <w:bookmarkStart w:id="9" w:name="_Toc20823277"/>
      <w:r/>
      <w:bookmarkEnd w:id="9"/>
      <w:r/>
      <w:bookmarkStart w:id="10" w:name="_Toc16938521"/>
      <w:r/>
      <w:bookmarkEnd w:id="10"/>
      <w:r/>
      <w:bookmarkStart w:id="11" w:name="_Toc513029205"/>
      <w:r/>
      <w:bookmarkEnd w:id="11"/>
      <w:r>
        <w:rPr>
          <w:rFonts w:hint="eastAsia" w:ascii="宋体" w:hAnsi="宋体" w:cs="宋体"/>
          <w:color w:val="auto"/>
          <w:sz w:val="28"/>
          <w:szCs w:val="28"/>
          <w:highlight w:val="none"/>
        </w:rPr>
        <w:t xml:space="preserve">2.合格的投标人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500" w:lineRule="exact"/>
        <w:rPr>
          <w:rFonts w:ascii="宋体" w:hAnsi="宋体" w:cs="宋体"/>
          <w:color w:val="auto"/>
          <w:sz w:val="28"/>
          <w:szCs w:val="28"/>
          <w:highlight w:val="none"/>
        </w:rPr>
      </w:pPr>
      <w:r/>
      <w:bookmarkStart w:id="12" w:name="_Toc20823278"/>
      <w:r/>
      <w:bookmarkEnd w:id="12"/>
      <w:r/>
      <w:bookmarkStart w:id="13" w:name="_Toc513029206"/>
      <w:r/>
      <w:bookmarkEnd w:id="13"/>
      <w:r/>
      <w:bookmarkStart w:id="14" w:name="_Toc16938522"/>
      <w:r/>
      <w:bookmarkEnd w:id="14"/>
      <w:r>
        <w:rPr>
          <w:rFonts w:hint="eastAsia" w:ascii="宋体" w:hAnsi="宋体" w:cs="宋体"/>
          <w:color w:val="auto"/>
          <w:sz w:val="28"/>
          <w:szCs w:val="28"/>
          <w:highlight w:val="none"/>
        </w:rPr>
        <w:t xml:space="preserve">3.适用法律</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500" w:lineRule="exact"/>
        <w:rPr>
          <w:rFonts w:ascii="宋体" w:hAnsi="宋体" w:cs="宋体"/>
          <w:color w:val="auto"/>
          <w:sz w:val="28"/>
          <w:szCs w:val="28"/>
          <w:highlight w:val="none"/>
        </w:rPr>
      </w:pPr>
      <w:r/>
      <w:bookmarkStart w:id="15" w:name="_Toc513029207"/>
      <w:r/>
      <w:bookmarkEnd w:id="15"/>
      <w:r/>
      <w:bookmarkStart w:id="16" w:name="_Toc462564067"/>
      <w:r/>
      <w:bookmarkEnd w:id="16"/>
      <w:r/>
      <w:bookmarkStart w:id="17" w:name="_Toc20823279"/>
      <w:r/>
      <w:bookmarkEnd w:id="17"/>
      <w:r/>
      <w:bookmarkStart w:id="18" w:name="_Toc16938523"/>
      <w:r/>
      <w:bookmarkEnd w:id="18"/>
      <w:r>
        <w:rPr>
          <w:rFonts w:hint="eastAsia" w:ascii="宋体" w:hAnsi="宋体" w:cs="宋体"/>
          <w:color w:val="auto"/>
          <w:sz w:val="28"/>
          <w:szCs w:val="28"/>
          <w:highlight w:val="none"/>
        </w:rPr>
        <w:t xml:space="preserve">4.投标费用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（以下简称招标代理机构）在任何情况下均无义务和责任承担这些费用。</w:t>
      </w:r>
      <w:r/>
    </w:p>
    <w:p>
      <w:pPr>
        <w:ind w:firstLine="560"/>
        <w:keepNex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本项目代理费按照江苏省招投标协会苏招协（2022）002号文规定标准下浮40%收取，由</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承担，由</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在领取中标通知书前支付给</w:t>
      </w:r>
      <w:r>
        <w:rPr>
          <w:rFonts w:hint="eastAsia" w:ascii="宋体" w:hAnsi="宋体" w:cs="宋体"/>
          <w:color w:val="auto"/>
          <w:sz w:val="28"/>
          <w:szCs w:val="28"/>
          <w:highlight w:val="none"/>
        </w:rPr>
        <w:t xml:space="preserve">招标</w:t>
      </w:r>
      <w:r>
        <w:rPr>
          <w:rFonts w:hint="eastAsia" w:ascii="宋体" w:hAnsi="宋体" w:cs="宋体"/>
          <w:color w:val="auto"/>
          <w:sz w:val="28"/>
          <w:szCs w:val="28"/>
          <w:highlight w:val="none"/>
          <w:lang w:val="zh-CN"/>
        </w:rPr>
        <w:t xml:space="preserve">代理机构，投标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报价时应综合考虑在报价内（不单列）。</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代理费定标后由中标候选人支付给代理机构。因中标人原因导致中标结果变更或取消中标资格等，代理费不予退还。</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招标文件需求部分（投标人资格要求、项目需求、商务技术评分标准）由招标人解释，其它部分由代理机构解释。</w:t>
      </w:r>
      <w:r/>
    </w:p>
    <w:p>
      <w:pPr>
        <w:pStyle w:val="1023"/>
        <w:ind w:firstLine="562"/>
        <w:spacing w:before="0" w:after="0" w:line="500" w:lineRule="exact"/>
        <w:rPr>
          <w:rFonts w:ascii="宋体" w:hAnsi="宋体" w:eastAsia="宋体" w:cs="宋体"/>
          <w:color w:val="auto"/>
          <w:sz w:val="28"/>
          <w:szCs w:val="28"/>
          <w:highlight w:val="none"/>
        </w:rPr>
      </w:pPr>
      <w:r/>
      <w:bookmarkStart w:id="19" w:name="_Toc120614215"/>
      <w:r/>
      <w:bookmarkEnd w:id="19"/>
      <w:r/>
      <w:bookmarkStart w:id="20" w:name="_Toc16938525"/>
      <w:r/>
      <w:bookmarkEnd w:id="20"/>
      <w:r/>
      <w:bookmarkStart w:id="21" w:name="_Toc513029209"/>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spacing w:line="500" w:lineRule="exact"/>
        <w:rPr>
          <w:rFonts w:ascii="宋体" w:hAnsi="宋体" w:cs="宋体"/>
          <w:color w:val="auto"/>
          <w:sz w:val="28"/>
          <w:szCs w:val="28"/>
          <w:highlight w:val="none"/>
        </w:rPr>
      </w:pPr>
      <w:r/>
      <w:bookmarkStart w:id="23" w:name="_Toc513029210"/>
      <w:r/>
      <w:bookmarkEnd w:id="23"/>
      <w:r/>
      <w:bookmarkStart w:id="24" w:name="_Toc16938526"/>
      <w:r/>
      <w:bookmarkEnd w:id="24"/>
      <w:r/>
      <w:bookmarkStart w:id="25" w:name="_Toc20823282"/>
      <w:r/>
      <w:bookmarkEnd w:id="25"/>
      <w:r>
        <w:rPr>
          <w:rFonts w:hint="eastAsia" w:ascii="宋体" w:hAnsi="宋体" w:cs="宋体"/>
          <w:color w:val="auto"/>
          <w:sz w:val="28"/>
          <w:szCs w:val="28"/>
          <w:highlight w:val="none"/>
        </w:rPr>
        <w:t xml:space="preserve">1.招标文件构成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招标文件由以下部分组成：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500" w:lineRule="exact"/>
        <w:rPr>
          <w:rFonts w:ascii="宋体" w:hAnsi="宋体" w:cs="宋体"/>
          <w:color w:val="auto"/>
          <w:sz w:val="28"/>
          <w:szCs w:val="28"/>
          <w:highlight w:val="none"/>
        </w:rPr>
      </w:pPr>
      <w:r/>
      <w:bookmarkStart w:id="26" w:name="_Toc462564070"/>
      <w:r/>
      <w:bookmarkEnd w:id="26"/>
      <w:r/>
      <w:bookmarkStart w:id="27" w:name="_Toc513029211"/>
      <w:r/>
      <w:bookmarkEnd w:id="27"/>
      <w:r/>
      <w:bookmarkStart w:id="28" w:name="_Toc20823283"/>
      <w:r/>
      <w:bookmarkEnd w:id="28"/>
      <w:r/>
      <w:bookmarkStart w:id="29" w:name="_Toc16938527"/>
      <w:r/>
      <w:bookmarkEnd w:id="29"/>
      <w:r>
        <w:rPr>
          <w:rFonts w:hint="eastAsia" w:ascii="宋体" w:hAnsi="宋体" w:cs="宋体"/>
          <w:color w:val="auto"/>
          <w:sz w:val="28"/>
          <w:szCs w:val="28"/>
          <w:highlight w:val="none"/>
        </w:rPr>
        <w:t xml:space="preserve">2.招标文件的澄清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2.2招标人视情组织答疑会</w:t>
      </w:r>
      <w:r/>
    </w:p>
    <w:p>
      <w:pPr>
        <w:ind w:firstLine="560"/>
        <w:spacing w:line="500" w:lineRule="exact"/>
        <w:rPr>
          <w:rFonts w:ascii="宋体" w:hAnsi="宋体" w:cs="宋体"/>
          <w:color w:val="auto"/>
          <w:sz w:val="28"/>
          <w:szCs w:val="28"/>
          <w:highlight w:val="none"/>
        </w:rPr>
      </w:pPr>
      <w:r/>
      <w:bookmarkStart w:id="30" w:name="_Toc20823284"/>
      <w:r/>
      <w:bookmarkEnd w:id="30"/>
      <w:r/>
      <w:bookmarkStart w:id="31" w:name="_Toc16938528"/>
      <w:r/>
      <w:bookmarkEnd w:id="31"/>
      <w:r/>
      <w:bookmarkStart w:id="32" w:name="_Toc462564071"/>
      <w:r/>
      <w:bookmarkEnd w:id="32"/>
      <w:r/>
      <w:bookmarkStart w:id="33" w:name="_Toc513029212"/>
      <w:r/>
      <w:bookmarkEnd w:id="33"/>
      <w:r>
        <w:rPr>
          <w:rFonts w:hint="eastAsia" w:ascii="宋体" w:hAnsi="宋体" w:cs="宋体"/>
          <w:color w:val="auto"/>
          <w:sz w:val="28"/>
          <w:szCs w:val="28"/>
          <w:highlight w:val="none"/>
        </w:rPr>
        <w:t xml:space="preserve">3.招标文件的修改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在投标截止时间前，代理机构可以对招标文件进行修改。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562"/>
        <w:spacing w:line="50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1023"/>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500" w:lineRule="exact"/>
        <w:rPr>
          <w:rFonts w:ascii="宋体" w:hAnsi="宋体" w:cs="宋体"/>
          <w:color w:val="auto"/>
          <w:sz w:val="28"/>
          <w:szCs w:val="28"/>
          <w:highlight w:val="none"/>
        </w:rPr>
      </w:pPr>
      <w:r/>
      <w:bookmarkStart w:id="34" w:name="_Toc513029214"/>
      <w:r/>
      <w:bookmarkEnd w:id="34"/>
      <w:r/>
      <w:bookmarkStart w:id="35" w:name="_Toc20823286"/>
      <w:r/>
      <w:bookmarkEnd w:id="35"/>
      <w:r/>
      <w:bookmarkStart w:id="36" w:name="_Toc16938530"/>
      <w:r/>
      <w:bookmarkEnd w:id="36"/>
      <w:r/>
      <w:bookmarkStart w:id="37" w:name="_Toc462564073"/>
      <w:r/>
      <w:bookmarkEnd w:id="37"/>
      <w:r>
        <w:rPr>
          <w:rFonts w:hint="eastAsia" w:ascii="宋体" w:hAnsi="宋体" w:cs="宋体"/>
          <w:color w:val="auto"/>
          <w:sz w:val="28"/>
          <w:szCs w:val="28"/>
          <w:highlight w:val="none"/>
        </w:rPr>
        <w:t xml:space="preserve">1.投标文件的语言及度量衡单位</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除技术性能另有规定外，投标文件所使用的度量衡单位，均须采用国家法定计量单位。</w:t>
      </w:r>
      <w:r/>
    </w:p>
    <w:p>
      <w:pPr>
        <w:ind w:firstLine="560"/>
        <w:spacing w:line="500" w:lineRule="exact"/>
        <w:rPr>
          <w:rFonts w:ascii="宋体" w:hAnsi="宋体" w:cs="宋体"/>
          <w:color w:val="auto"/>
          <w:sz w:val="28"/>
          <w:szCs w:val="28"/>
          <w:highlight w:val="none"/>
        </w:rPr>
      </w:pPr>
      <w:r/>
      <w:bookmarkStart w:id="38" w:name="_Toc513029215"/>
      <w:r/>
      <w:bookmarkEnd w:id="38"/>
      <w:r/>
      <w:bookmarkStart w:id="39" w:name="_Toc16938531"/>
      <w:r/>
      <w:bookmarkEnd w:id="39"/>
      <w:r/>
      <w:bookmarkStart w:id="40" w:name="_Toc20823287"/>
      <w:r/>
      <w:bookmarkEnd w:id="40"/>
      <w:r/>
      <w:bookmarkStart w:id="41" w:name="_Toc462564074"/>
      <w:r/>
      <w:bookmarkEnd w:id="41"/>
      <w:r>
        <w:rPr>
          <w:rFonts w:hint="eastAsia" w:ascii="宋体" w:hAnsi="宋体" w:cs="宋体"/>
          <w:color w:val="auto"/>
          <w:sz w:val="28"/>
          <w:szCs w:val="28"/>
          <w:highlight w:val="none"/>
        </w:rPr>
        <w:t xml:space="preserve">2.投标文件构成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投标人编写的投标文件应包括资格审查证明材料文件、商务技术标文件、价格标文件。投标人按“第五部分 投标文件组成”要求编写投标文件</w:t>
      </w:r>
      <w:r/>
    </w:p>
    <w:p>
      <w:pPr>
        <w:ind w:firstLine="560"/>
        <w:spacing w:line="500" w:lineRule="exact"/>
        <w:rPr>
          <w:rFonts w:ascii="宋体" w:hAnsi="宋体" w:cs="宋体"/>
          <w:color w:val="auto"/>
          <w:sz w:val="28"/>
          <w:szCs w:val="28"/>
          <w:highlight w:val="none"/>
        </w:rPr>
      </w:pPr>
      <w:r/>
      <w:bookmarkStart w:id="42" w:name="_Hlt26670360"/>
      <w:r/>
      <w:bookmarkEnd w:id="42"/>
      <w:r/>
      <w:bookmarkStart w:id="43" w:name="_Toc14577360"/>
      <w:r/>
      <w:bookmarkEnd w:id="43"/>
      <w:r/>
      <w:bookmarkStart w:id="44" w:name="_Hlt26954838"/>
      <w:r/>
      <w:bookmarkEnd w:id="44"/>
      <w:r/>
      <w:bookmarkStart w:id="45" w:name="_Hlt26668975"/>
      <w:r/>
      <w:bookmarkEnd w:id="45"/>
      <w:r/>
      <w:bookmarkStart w:id="46" w:name="_Toc49090511"/>
      <w:r/>
      <w:bookmarkEnd w:id="46"/>
      <w:r>
        <w:rPr>
          <w:rFonts w:hint="eastAsia" w:ascii="宋体" w:hAnsi="宋体" w:cs="宋体"/>
          <w:color w:val="auto"/>
          <w:sz w:val="28"/>
          <w:szCs w:val="28"/>
          <w:highlight w:val="none"/>
        </w:rPr>
        <w:t xml:space="preserve">3.投标有效期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bookmarkStart w:id="47" w:name="_Hlt26954852"/>
      <w:r/>
      <w:bookmarkEnd w:id="47"/>
      <w:r/>
      <w:bookmarkStart w:id="48" w:name="_Hlt26954739"/>
      <w:r/>
      <w:bookmarkEnd w:id="48"/>
      <w:r>
        <w:rPr>
          <w:rFonts w:hint="eastAsia" w:ascii="宋体" w:hAnsi="宋体" w:cs="宋体"/>
          <w:bCs/>
          <w:color w:val="auto"/>
          <w:sz w:val="28"/>
          <w:szCs w:val="28"/>
          <w:highlight w:val="none"/>
        </w:rPr>
        <w:t xml:space="preserve">5.电子投标文件其他要求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23"/>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500" w:lineRule="exact"/>
        <w:rPr>
          <w:rFonts w:ascii="宋体" w:hAnsi="宋体" w:cs="宋体"/>
          <w:bCs/>
          <w:color w:val="auto"/>
          <w:sz w:val="28"/>
          <w:szCs w:val="28"/>
          <w:highlight w:val="none"/>
        </w:rPr>
      </w:pPr>
      <w:r/>
      <w:bookmarkStart w:id="49" w:name="_Toc20823297"/>
      <w:r/>
      <w:bookmarkEnd w:id="49"/>
      <w:r/>
      <w:bookmarkStart w:id="50" w:name="_Toc462564084"/>
      <w:r/>
      <w:bookmarkEnd w:id="50"/>
      <w:r/>
      <w:bookmarkStart w:id="51" w:name="_Toc16938541"/>
      <w:r/>
      <w:bookmarkEnd w:id="51"/>
      <w:r/>
      <w:bookmarkStart w:id="52" w:name="_Toc513029225"/>
      <w:r/>
      <w:bookmarkEnd w:id="52"/>
      <w:r>
        <w:rPr>
          <w:rFonts w:hint="eastAsia" w:ascii="宋体" w:hAnsi="宋体" w:cs="宋体"/>
          <w:bCs/>
          <w:color w:val="auto"/>
          <w:sz w:val="28"/>
          <w:szCs w:val="28"/>
          <w:highlight w:val="none"/>
        </w:rPr>
        <w:t xml:space="preserve">1.投标文件的提交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 投标人上传电子投标文件的时间不得迟于公开招标公告中规定的投标文件提交截止时间。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 招标代理机构拒绝接收在其规定的投标文件提交截止时间后上传的任何投标文件。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 投标文件的撤回和修改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 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电子投标文件的撤回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 投标人撤回电子投标文件，则认为其不再参与本项目投标活动。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 投标文件的修改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 在投标文件提交截止时间之后，投标人不得对其电子投标文件作任何修改。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 在投标文件提交截止时间至招标文件中规定的投标有效期满之间的这段时间内，投标人不得撤回其投标文件。</w:t>
      </w:r>
      <w:r/>
    </w:p>
    <w:p>
      <w:pPr>
        <w:pStyle w:val="1023"/>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50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1.3投标人在开标过程中涉及到的投标文件解密、开标结果确认等工作，应按照“苏采云”系统投标人操作手册规定执行。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“苏采云”系统投标人操作手册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2.2评委会由招标人代表和有关技术、经济等方面的专家组成，且人员构成符合政府采购有关规定。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 评审过程的保密与公正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3.5在评审期间，招标代理机构将设专门人员与投标人联系。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3.6招标人、招标代理机构和评标委员会不向未中标的投标人解释未中标原因，也不公布评审过程中的相关细节。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招标人在进行资格性审查的同时，将在“信用中国”网站（www.creditchina.gov.cn）查询投标人的信用记录，以确定投标人是否具备投标资格,查询结果留存并归档。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5.5异常低价审查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5.5.1根据省财政厅《关于推动解决政府采购异常低价问题相关工作的通知》（苏财购〔2025〕62号）要求，评审过程中出现下列情形之一的，评审委员会应当启动异常低价投标（响应）审查程序：</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（1）投标(响应)报价低于采购项目预算50%的，即投标(响应)报价&lt;采购项目预算×50%;</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（2）投标(响应)报价低于采购项目最高限价45%的，即投标(响应)报价&lt;采购项目最高限价×45%;</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（3）评审委员会认定的供应商报价过低、有可能影响产品质量或者不能诚信履约的其他情形。</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5.8投标人在开、评标全过程中应保持通讯畅通，及时登录苏采云系统查阅、答复相关信息，并安排专人与招标人或招标代理机构及评标委员会联系。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 投标文件线上格式要求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 同一投标人提交两个（含两个）以上不同的投标报价的。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7.1.7投标文件含有招标人不能接受的附加条件的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7.1.11投标人的商务技术部分得分相差悬殊，评标委员会认为得分畸低者没有实质性响应的。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7.1.12其他法律、法规及本招标文件规定的属无效投标的情形。</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7.1.13不同的投标人响应文件MAC地址、标书制作工具客户端识别码一致的。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 因苏采云系统系统故障原因造成开标不成功的。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r/>
    </w:p>
    <w:p>
      <w:pPr>
        <w:pStyle w:val="1023"/>
        <w:ind w:firstLine="562"/>
        <w:spacing w:before="0" w:after="0" w:line="50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500" w:lineRule="exact"/>
        <w:rPr>
          <w:rFonts w:ascii="宋体" w:hAnsi="宋体" w:cs="宋体"/>
          <w:color w:val="auto"/>
          <w:sz w:val="28"/>
          <w:szCs w:val="28"/>
          <w:highlight w:val="none"/>
        </w:rPr>
      </w:pPr>
      <w:r/>
      <w:bookmarkStart w:id="54" w:name="_Toc20823310"/>
      <w:r/>
      <w:bookmarkEnd w:id="54"/>
      <w:r/>
      <w:bookmarkStart w:id="55" w:name="_Toc16938554"/>
      <w:r/>
      <w:bookmarkEnd w:id="55"/>
      <w:r>
        <w:rPr>
          <w:rFonts w:hint="eastAsia" w:ascii="宋体" w:hAnsi="宋体" w:cs="宋体"/>
          <w:color w:val="auto"/>
          <w:sz w:val="28"/>
          <w:szCs w:val="28"/>
          <w:highlight w:val="none"/>
        </w:rPr>
        <w:t xml:space="preserve">1.确定中标单位</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1.2招标人授权评委会在中标候选人中直接确定中标人。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1.4.2向招标人、代理机构行贿或者提供其他不正当利益的。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1.4.5与招标人或者其他投标人恶意串通的。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招标人及代理机构质疑接收人及联系方式，见招标文件第一部分。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 未参加投标活动的投标人或在投标活动中自身权益未受到损害的投标人所提出的质疑。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3.2中标通知书将是合同的一个组成部分。对招标人和中标投标人均具有法律效力。中标通知书发出后，招标人改变中标结果的，或者中标投标人放弃中标项目的，应当依法承担法律责任。</w:t>
      </w:r>
      <w:r/>
    </w:p>
    <w:p>
      <w:pPr>
        <w:pStyle w:val="1023"/>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加盖红章的系统内打印的纸质响应文件给招标代理机构。</w:t>
      </w:r>
      <w:r/>
    </w:p>
    <w:p>
      <w:pPr>
        <w:pStyle w:val="1023"/>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1.履约保证金及签订合同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.l中标人应当在中标通知书发出之日起三十日内，按照招标文件确定的事项与招标人签订政府采购合同。</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1.2招标文件、中标人的投标文件及开标过程中有关澄清、承诺文件均应作为合同附件。</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 本项目中标后的履约保证金为合同价的5%，</w:t>
      </w:r>
      <w:bookmarkStart w:id="56" w:name="OLE_LINK104"/>
      <w:r>
        <w:rPr>
          <w:rFonts w:hint="eastAsia" w:ascii="宋体" w:hAnsi="宋体" w:cs="宋体"/>
          <w:color w:val="auto"/>
          <w:sz w:val="28"/>
          <w:szCs w:val="28"/>
          <w:highlight w:val="none"/>
        </w:rPr>
        <w:t xml:space="preserve">中标人的履约保证金须在中标通知书发出之日七个工作日内汇</w:t>
      </w:r>
      <w:bookmarkEnd w:id="56"/>
      <w:r>
        <w:rPr>
          <w:rFonts w:hint="eastAsia" w:ascii="宋体" w:hAnsi="宋体" w:cs="宋体"/>
          <w:color w:val="auto"/>
          <w:sz w:val="28"/>
          <w:szCs w:val="28"/>
          <w:highlight w:val="none"/>
        </w:rPr>
        <w:t xml:space="preserve">入招标人单位账户（应当以数字人民币、支票、汇票或者金融机构、担保机构出具的保函等形式提交），中标人凭中标通知书与招标人签订合同。超期或未有协商，则视为自动放弃中标资格。</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中标人第一年度履约后，经考核后续签第二年度合同的，第一年度履约保证金不退还，自动转为第二年度履约保证金，以此类推，履约期间无违约行为且符合合同约定退还条件的，在履约期满后一个月内退还。招标人若逾期退还履约保证金的，按照逾期部分的每日0.05%支付违约金；</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 发生以下情况的，履约保证金不予退还或部分退还：</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a.签订合同后，中标人不履行合同义务的，招标人有权全额扣除履约保证金，全额不予退还，同时采购单位亦有权终止合同，中标人还须承担相应的法律赔偿责任。</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p>
    <w:p>
      <w:pPr>
        <w:pStyle w:val="839"/>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jisngsu/zlxz/)。</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1.6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50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pStyle w:val="1175"/>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九、投标项目涉及到的现场勘察</w:t>
      </w:r>
      <w:r/>
    </w:p>
    <w:p>
      <w:pPr>
        <w:pStyle w:val="1175"/>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1.招标文件所提供的项目相关数据仅做参考，投标人可以在投标文件递交之日前对有关现场和周围环境进行勘察，以获取编制投标文件和签署合同所需的信息。勘察现场所发生的费用由投标人自己承担。</w:t>
      </w:r>
      <w:r/>
    </w:p>
    <w:p>
      <w:pPr>
        <w:pStyle w:val="1175"/>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2.采购人向投标人提供的有关现场的资料和数据，是采购人现有的并认为能使投标人可利用的资料。采购人对投标人由此而做出的推论、理解和结论概不负责。</w:t>
      </w:r>
      <w:r/>
    </w:p>
    <w:p>
      <w:pPr>
        <w:pStyle w:val="1175"/>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3.经采购人允许，投标人可为勘察目的进入采购人的项目现场，但投标人不得因此使采购人承担有关的责任和蒙受损失。投标人应承担勘察现场的责任和风险。</w:t>
      </w:r>
      <w:r/>
    </w:p>
    <w:p>
      <w:pPr>
        <w:pStyle w:val="1175"/>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4.投标人在现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r/>
    </w:p>
    <w:p>
      <w:pPr>
        <w:jc w:val="center"/>
        <w:spacing w:line="460" w:lineRule="exact"/>
        <w:rPr>
          <w:rFonts w:ascii="宋体" w:hAnsi="宋体" w:cs="宋体"/>
          <w:color w:val="auto"/>
          <w:sz w:val="28"/>
          <w:szCs w:val="28"/>
          <w:highlight w:val="none"/>
        </w:rPr>
      </w:pPr>
      <w:r>
        <w:rPr>
          <w:rFonts w:hint="eastAsia" w:ascii="宋体" w:hAnsi="宋体" w:cs="宋体"/>
          <w:bCs/>
          <w:color w:val="auto"/>
          <w:sz w:val="36"/>
          <w:szCs w:val="36"/>
          <w:highlight w:val="none"/>
        </w:rPr>
        <w:br w:type="page" w:clear="all"/>
      </w:r>
      <w:r>
        <w:rPr>
          <w:rFonts w:hint="eastAsia" w:ascii="宋体" w:hAnsi="宋体" w:cs="宋体"/>
          <w:b/>
          <w:bCs/>
          <w:color w:val="auto"/>
          <w:sz w:val="36"/>
          <w:szCs w:val="36"/>
          <w:highlight w:val="none"/>
        </w:rPr>
        <w:t xml:space="preserve">第三部分  项目需求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一、项目概况</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保障中天绿色精品钢项目内河运输,维护好水上通航秩序、确保水上通航安全，需对通扬运河市区段水上交通秩序进行水上交通管制。现对通扬运河市区段水上交通管制购买第三方服务项目进行竞争性磋商采购。</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二、对供应商管理要求</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1.管制期限</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202</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年至202</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年12月；本次采购服务时间为12个月，以签订合同日起算。</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2.工作时间</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每天24小时进行管制；</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3.管制水域</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通扬运河市区段设置两个水上交通管制点，分别位于通吕河五岔河口和通扬运河十八里河口；</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4.人员要求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每班不少于三名人员，身体健康，会游泳（其中一名为持证船舶驾驶人员，一名为电脑操作人员）。</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5.其他需求</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第三方服务方需具备相应的涉水作业资质，参与协助管制人员在本单位缴纳社保，并配备船艇两艘用于本项目现场服务，中标后合同签订前需提供相关证明材料原件供</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人核查，不能提供的，</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人有权拒签合同。</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6.工作职责</w:t>
      </w:r>
      <w:r/>
    </w:p>
    <w:p>
      <w:pPr>
        <w:ind w:firstLine="56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6.1通扬运河市区段实行单向航行；</w:t>
      </w:r>
      <w:r/>
    </w:p>
    <w:p>
      <w:pPr>
        <w:pStyle w:val="840"/>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6.2管制时间安排</w:t>
      </w:r>
      <w:r/>
    </w:p>
    <w:p>
      <w:pPr>
        <w:ind w:firstLine="560"/>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通行时间明细表</w:t>
      </w:r>
      <w:r/>
    </w:p>
    <w:tbl>
      <w:tblPr>
        <w:tblStyle w:val="836"/>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2"/>
        <w:gridCol w:w="1681"/>
        <w:gridCol w:w="1878"/>
        <w:gridCol w:w="1917"/>
      </w:tblGrid>
      <w:tr>
        <w:trPr>
          <w:jc w:val="center"/>
          <w:trHeight w:val="433"/>
        </w:trPr>
        <w:tc>
          <w:tcPr>
            <w:tcW w:w="3022" w:type="dxa"/>
            <w:vAlign w:val="top"/>
            <w:textDirection w:val="lrTb"/>
            <w:noWrap w:val="false"/>
          </w:tcPr>
          <w:p>
            <w:pPr>
              <w:ind w:firstLine="56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通行线路</w:t>
            </w:r>
            <w:r/>
          </w:p>
        </w:tc>
        <w:tc>
          <w:tcPr>
            <w:tcW w:w="1681" w:type="dxa"/>
            <w:vAlign w:val="top"/>
            <w:textDirection w:val="lrTb"/>
            <w:noWrap w:val="false"/>
          </w:tcPr>
          <w:p>
            <w:pPr>
              <w:ind w:firstLine="56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w:t>
            </w:r>
            <w:r/>
          </w:p>
        </w:tc>
        <w:tc>
          <w:tcPr>
            <w:tcW w:w="1878" w:type="dxa"/>
            <w:vAlign w:val="top"/>
            <w:textDirection w:val="lrTb"/>
            <w:noWrap w:val="false"/>
          </w:tcPr>
          <w:p>
            <w:pPr>
              <w:ind w:firstLine="56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w:t>
            </w:r>
            <w:r/>
          </w:p>
        </w:tc>
        <w:tc>
          <w:tcPr>
            <w:tcW w:w="1917" w:type="dxa"/>
            <w:vAlign w:val="top"/>
            <w:textDirection w:val="lrTb"/>
            <w:noWrap w:val="false"/>
          </w:tcPr>
          <w:p>
            <w:pPr>
              <w:ind w:firstLine="56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w:t>
            </w:r>
            <w:r/>
          </w:p>
        </w:tc>
      </w:tr>
      <w:tr>
        <w:trPr>
          <w:jc w:val="center"/>
          <w:trHeight w:val="857"/>
        </w:trPr>
        <w:tc>
          <w:tcPr>
            <w:tcW w:w="3022"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通吕运河-九圩港船闸</w:t>
            </w:r>
            <w:r/>
          </w:p>
        </w:tc>
        <w:tc>
          <w:tcPr>
            <w:tcW w:w="1681"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0:00-3:00</w:t>
            </w:r>
            <w:r/>
          </w:p>
        </w:tc>
        <w:tc>
          <w:tcPr>
            <w:tcW w:w="1878"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8:00-11:00</w:t>
            </w:r>
            <w:r/>
          </w:p>
        </w:tc>
        <w:tc>
          <w:tcPr>
            <w:tcW w:w="1917"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16:00-19:00</w:t>
            </w:r>
            <w:r/>
          </w:p>
        </w:tc>
      </w:tr>
      <w:tr>
        <w:trPr>
          <w:jc w:val="center"/>
          <w:trHeight w:val="866"/>
        </w:trPr>
        <w:tc>
          <w:tcPr>
            <w:tcW w:w="3022"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九圩港船闸-通吕运河</w:t>
            </w:r>
            <w:r/>
          </w:p>
        </w:tc>
        <w:tc>
          <w:tcPr>
            <w:tcW w:w="1681"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4:00-7：00</w:t>
            </w:r>
            <w:r/>
          </w:p>
        </w:tc>
        <w:tc>
          <w:tcPr>
            <w:tcW w:w="1878"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12:00-15:00</w:t>
            </w:r>
            <w:r/>
          </w:p>
        </w:tc>
        <w:tc>
          <w:tcPr>
            <w:tcW w:w="1917"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20:00-23:00</w:t>
            </w:r>
            <w:r/>
          </w:p>
        </w:tc>
      </w:tr>
    </w:tbl>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备注：原则上按照通行时间表执行，特殊情况根据需求及时调整。</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6.3管制标准</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船舶吃水超过3.4米、净空高度超过4.5米任一标准的船舶禁止进入通扬运河市区段；</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禁止危险货物运输船舶、轮队、槽罐船进入通扬运河市区段；</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水位低于2.2米、高于2.6米时，停止放行；</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6.4第三方管制人员工作要求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管制人员工作期间不得擅自离岗，两管制点必须留有人员值守VHF，原则上不登船检查；</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接船员申报后，管制人员进行台账登记（船名船号、船舶总吨、实际净高、实际吃水、型深、航向、载货情况、国籍证书等）如实记录申报内容、核查结果；</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对疑似超过管制水域通航标准的船舶，管制人员进行现场核对，对满足通航要求的船舶，予以放行，对不符合要求的船舶禁止进入，并做好台帐记录，以便备查。具体参考图片1、2；</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管制期间发现不服从管理的船舶应立即制止，同时报告辖区交通执法机构；</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在交通管制期间，发生水上交通险情时，第一时间上报辖区中队，并协助做好临时管制措施；</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参加管制的所有工作人员不得发生吃拿卡的行为，一经发现，予以辞退；</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管制期间严禁饮酒，舱外工作人员必须按照规定穿救生衣，谨慎操作，防止意外事件的发生；</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管制人员应对放行时间段的船舶进行核对，并通过视频监控查看航道是否清空，及时通报对方管制点；</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管制人员需做好内务卫生，确保办公环境干净整洁；</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完成支队布置的其他相关管制任务。</w:t>
      </w:r>
      <w:r/>
    </w:p>
    <w:p>
      <w:pPr>
        <w:ind w:firstLine="562"/>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三、通扬运河市区段水上交通管制流程</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1.通过通扬运河市区段的船舶到港后在指定水域停靠；</w:t>
      </w:r>
      <w:r/>
    </w:p>
    <w:p>
      <w:pPr>
        <w:ind w:firstLine="560"/>
        <w:spacing w:line="46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2.船员通过“南通交通运输执法”微信公众号进行自主申报，包括</w:t>
      </w:r>
      <w:r>
        <w:rPr>
          <w:rFonts w:hint="eastAsia" w:ascii="宋体" w:hAnsi="宋体" w:eastAsia="宋体" w:cs="宋体"/>
          <w:bCs/>
          <w:color w:val="auto"/>
          <w:sz w:val="28"/>
          <w:szCs w:val="28"/>
          <w:highlight w:val="none"/>
        </w:rPr>
        <w:t xml:space="preserve">船名船号、船舶总吨、实际净高、实际吃水、型深、航向、载货情况、国籍证书等；</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3.接船员申报后，管制人员进行台账登记（船名船号、船舶总吨、实际净高、实际吃水、型深、航向、载货情况、国籍证书等）；</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4.系统审核，符合通行标准的予以放行；</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5.对疑似超过管制水域通航标准的船舶，管制人员进行现场核对，对满足通航要求的船舶，予以放行，对不符合要求的船舶禁止进入，并做好台帐记录，以便备查，管理台账可参考图片2；</w:t>
      </w:r>
      <w:r/>
    </w:p>
    <w:p>
      <w:pPr>
        <w:ind w:firstLine="560"/>
        <w:spacing w:line="46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6.船舶接到放行通知后，根据绿灯有序通行，不得抢档、超越，违反航行通告、不服从管理的列入船闸管控黑名单，实施行政处罚。</w:t>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914400</wp:posOffset>
                </wp:positionH>
                <wp:positionV relativeFrom="paragraph">
                  <wp:posOffset>297815</wp:posOffset>
                </wp:positionV>
                <wp:extent cx="4092575" cy="4829810"/>
                <wp:effectExtent l="0" t="0" r="3175" b="8890"/>
                <wp:wrapTight wrapText="bothSides">
                  <wp:wrapPolygon edited="1">
                    <wp:start x="0" y="0"/>
                    <wp:lineTo x="0" y="21555"/>
                    <wp:lineTo x="21516" y="21555"/>
                    <wp:lineTo x="21516" y="0"/>
                    <wp:lineTo x="0" y="0"/>
                  </wp:wrapPolygon>
                </wp:wrapTight>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4092575" cy="482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72.0pt;mso-position-horizontal:absolute;mso-position-vertical-relative:text;margin-top:23.4pt;mso-position-vertical:absolute;width:322.2pt;height:380.3pt;mso-wrap-distance-left:9.0pt;mso-wrap-distance-top:0.0pt;mso-wrap-distance-right:9.0pt;mso-wrap-distance-bottom:0.0pt;" wrapcoords="0 0 0 99792 99611 99792 99611 0 0 0" stroked="f">
                <v:path textboxrect="0,0,0,0"/>
                <w10:wrap type="tight"/>
                <v:imagedata r:id="rId18" o:title=""/>
              </v:shape>
            </w:pict>
          </mc:Fallback>
        </mc:AlternateContent>
      </w:r>
      <w:r>
        <w:rPr>
          <w:rFonts w:hint="eastAsia" w:ascii="宋体" w:hAnsi="宋体" w:eastAsia="宋体" w:cs="宋体"/>
          <w:b/>
          <w:bCs/>
          <w:color w:val="auto"/>
          <w:sz w:val="28"/>
          <w:szCs w:val="28"/>
          <w:highlight w:val="none"/>
        </w:rPr>
        <w:t xml:space="preserve">图片1：通扬运河市区段水上交通管制流程图</w:t>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375285</wp:posOffset>
                </wp:positionH>
                <wp:positionV relativeFrom="page">
                  <wp:posOffset>1200150</wp:posOffset>
                </wp:positionV>
                <wp:extent cx="5309870" cy="2895600"/>
                <wp:effectExtent l="0" t="0" r="5080" b="0"/>
                <wp:wrapTight wrapText="bothSides">
                  <wp:wrapPolygon edited="1">
                    <wp:start x="0" y="0"/>
                    <wp:lineTo x="0" y="21458"/>
                    <wp:lineTo x="21543" y="21458"/>
                    <wp:lineTo x="21543" y="0"/>
                    <wp:lineTo x="0" y="0"/>
                  </wp:wrapPolygon>
                </wp:wrapTight>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9"/>
                        <a:stretch/>
                      </pic:blipFill>
                      <pic:spPr bwMode="auto">
                        <a:xfrm>
                          <a:off x="0" y="0"/>
                          <a:ext cx="530987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9.5pt;mso-position-horizontal:absolute;mso-position-vertical-relative:page;margin-top:94.5pt;mso-position-vertical:absolute;width:418.1pt;height:228.0pt;mso-wrap-distance-left:9.0pt;mso-wrap-distance-top:0.0pt;mso-wrap-distance-right:9.0pt;mso-wrap-distance-bottom:0.0pt;" wrapcoords="0 0 0 99343 99736 99343 99736 0 0 0" stroked="f">
                <v:path textboxrect="0,0,0,0"/>
                <w10:wrap type="tight"/>
                <v:imagedata r:id="rId19" o:title=""/>
              </v:shape>
            </w:pict>
          </mc:Fallback>
        </mc:AlternateContent>
      </w:r>
      <w:r>
        <w:rPr>
          <w:rFonts w:hint="eastAsia" w:ascii="宋体" w:hAnsi="宋体" w:eastAsia="宋体" w:cs="宋体"/>
          <w:b/>
          <w:bCs/>
          <w:color w:val="auto"/>
          <w:sz w:val="28"/>
          <w:szCs w:val="28"/>
          <w:highlight w:val="none"/>
        </w:rPr>
        <w:t xml:space="preserve">图片2：通扬运河市区段管制船舶登记台账</w:t>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40"/>
        <w:rPr>
          <w:rFonts w:hint="eastAsia"/>
          <w:color w:val="auto"/>
          <w:highlight w:val="none"/>
        </w:rPr>
      </w:pPr>
      <w:r>
        <w:rPr>
          <w:rFonts w:hint="eastAsia"/>
          <w:color w:val="auto"/>
          <w:highlight w:val="none"/>
        </w:rPr>
      </w:r>
      <w:r/>
    </w:p>
    <w:p>
      <w:pPr>
        <w:jc w:val="left"/>
        <w:spacing w:line="46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四、运营费用：</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57" w:name="_Hlk109992490"/>
      <w:r>
        <w:rPr>
          <w:rFonts w:hint="eastAsia" w:ascii="宋体" w:hAnsi="宋体" w:eastAsia="宋体" w:cs="宋体"/>
          <w:color w:val="auto"/>
          <w:sz w:val="28"/>
          <w:szCs w:val="28"/>
          <w:highlight w:val="none"/>
        </w:rPr>
        <w:t xml:space="preserve">.运营</w:t>
      </w:r>
      <w:bookmarkEnd w:id="57"/>
      <w:r>
        <w:rPr>
          <w:rFonts w:hint="eastAsia" w:ascii="宋体" w:hAnsi="宋体" w:eastAsia="宋体" w:cs="宋体"/>
          <w:color w:val="auto"/>
          <w:sz w:val="28"/>
          <w:szCs w:val="28"/>
          <w:highlight w:val="none"/>
        </w:rPr>
        <w:t xml:space="preserve">费包括人员工资（含社保险、人员意外险）、劳护用品、船舶燃油费、船舶设施、日常维护保养、船舶险、管理费、税金以及其他费用等。合同期内，除因考核扣减费用外，合同金额不变，</w:t>
      </w: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应充分考虑成本变动因素，自负盈亏。</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2.付款方式：</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2.1签订合同后预付合同价20%；</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2.2合同价80%部分分4个季度考核支付。签订合同后分4个季度考核支付。根据考核结果，对应优良、合格、基本合格、不合格四个等次，在完成季度考核后十个工作日内，分别按以下比例支付本季度运营费用：</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（一）考核评分为900分及以上的为优良等次，按季度金额100%支付本季度运营费用；</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（二）考核评分为800分及以上～900分的为合格等次，按季度金额90%比例支付本季度运营费用；</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（三）考核评分为700分及以上～800分的为基本合格等次，按季度金额80%比例支付本季度运营费用；</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（四）考核评分低于700分的为不合格等次，</w:t>
      </w:r>
      <w:bookmarkStart w:id="58" w:name="_Hlk112059137"/>
      <w:r>
        <w:rPr>
          <w:rFonts w:hint="eastAsia" w:ascii="宋体" w:hAnsi="宋体" w:cs="宋体"/>
          <w:color w:val="auto"/>
          <w:sz w:val="28"/>
          <w:szCs w:val="28"/>
          <w:highlight w:val="none"/>
          <w:lang w:val="en-US" w:eastAsia="zh-CN"/>
        </w:rPr>
        <w:t xml:space="preserve">招标人</w:t>
      </w:r>
      <w:r>
        <w:rPr>
          <w:rFonts w:hint="eastAsia" w:ascii="宋体" w:hAnsi="宋体" w:eastAsia="宋体" w:cs="宋体"/>
          <w:color w:val="auto"/>
          <w:sz w:val="28"/>
          <w:szCs w:val="28"/>
          <w:highlight w:val="none"/>
        </w:rPr>
        <w:t xml:space="preserve">有权全额扣除本季度运营费，并解除合同，</w:t>
      </w:r>
      <w:r>
        <w:rPr>
          <w:rFonts w:hint="eastAsia" w:ascii="宋体" w:hAnsi="宋体" w:cs="宋体"/>
          <w:color w:val="auto"/>
          <w:sz w:val="28"/>
          <w:szCs w:val="28"/>
          <w:highlight w:val="none"/>
          <w:lang w:val="en-US" w:eastAsia="zh-CN"/>
        </w:rPr>
        <w:t xml:space="preserve">中标人</w:t>
      </w:r>
      <w:r>
        <w:rPr>
          <w:rFonts w:hint="eastAsia" w:ascii="宋体" w:hAnsi="宋体" w:eastAsia="宋体" w:cs="宋体"/>
          <w:color w:val="auto"/>
          <w:sz w:val="28"/>
          <w:szCs w:val="28"/>
          <w:highlight w:val="none"/>
        </w:rPr>
        <w:t xml:space="preserve">承担违约责任。</w:t>
      </w:r>
      <w:bookmarkEnd w:id="58"/>
      <w:r/>
      <w:r/>
    </w:p>
    <w:p>
      <w:pPr>
        <w:ind w:firstLine="560"/>
        <w:jc w:val="left"/>
        <w:spacing w:line="460" w:lineRule="exact"/>
        <w:rPr>
          <w:rFonts w:hint="eastAsia" w:ascii="宋体" w:hAnsi="宋体" w:eastAsia="宋体" w:cs="宋体"/>
          <w:color w:val="auto"/>
          <w:sz w:val="28"/>
          <w:szCs w:val="28"/>
          <w:highlight w:val="none"/>
        </w:rPr>
        <w:sectPr>
          <w:headerReference w:type="default" r:id="rId9"/>
          <w:footerReference w:type="default" r:id="rId13"/>
          <w:footnotePr/>
          <w:endnotePr/>
          <w:type w:val="nextPage"/>
          <w:pgSz w:w="11907" w:h="16839"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8"/>
          <w:szCs w:val="28"/>
          <w:highlight w:val="none"/>
        </w:rPr>
        <w:t xml:space="preserve">（五）</w:t>
      </w:r>
      <w:r>
        <w:rPr>
          <w:rFonts w:hint="eastAsia" w:ascii="宋体" w:hAnsi="宋体" w:cs="宋体"/>
          <w:color w:val="auto"/>
          <w:sz w:val="28"/>
          <w:szCs w:val="28"/>
          <w:highlight w:val="none"/>
          <w:lang w:val="en-US" w:eastAsia="zh-CN"/>
        </w:rPr>
        <w:t xml:space="preserve">招标人</w:t>
      </w:r>
      <w:r>
        <w:rPr>
          <w:rFonts w:hint="eastAsia" w:ascii="宋体" w:hAnsi="宋体" w:eastAsia="宋体" w:cs="宋体"/>
          <w:color w:val="auto"/>
          <w:sz w:val="28"/>
          <w:szCs w:val="28"/>
          <w:highlight w:val="none"/>
        </w:rPr>
        <w:t xml:space="preserve">将以下表的方式对</w:t>
      </w:r>
      <w:r>
        <w:rPr>
          <w:rFonts w:hint="eastAsia" w:ascii="宋体" w:hAnsi="宋体" w:cs="宋体"/>
          <w:color w:val="auto"/>
          <w:sz w:val="28"/>
          <w:szCs w:val="28"/>
          <w:highlight w:val="none"/>
          <w:lang w:val="en-US" w:eastAsia="zh-CN"/>
        </w:rPr>
        <w:t xml:space="preserve">中标人</w:t>
      </w:r>
      <w:r>
        <w:rPr>
          <w:rFonts w:hint="eastAsia" w:ascii="宋体" w:hAnsi="宋体" w:eastAsia="宋体" w:cs="宋体"/>
          <w:color w:val="auto"/>
          <w:sz w:val="28"/>
          <w:szCs w:val="28"/>
          <w:highlight w:val="none"/>
        </w:rPr>
        <w:t xml:space="preserve">进行相应考核，投标人可自行参考：</w:t>
      </w:r>
      <w:r/>
    </w:p>
    <w:p>
      <w:pPr>
        <w:spacing w:line="460" w:lineRule="exact"/>
        <w:rPr>
          <w:rFonts w:cs="宋体" w:asciiTheme="majorEastAsia" w:hAnsiTheme="majorEastAsia" w:eastAsiaTheme="majorEastAsia"/>
          <w:b/>
          <w:bCs/>
          <w:color w:val="auto"/>
          <w:sz w:val="36"/>
          <w:szCs w:val="36"/>
          <w:highlight w:val="none"/>
        </w:rPr>
      </w:pPr>
      <w:r>
        <w:rPr>
          <w:rFonts w:cs="宋体" w:asciiTheme="majorEastAsia" w:hAnsiTheme="majorEastAsia" w:eastAsiaTheme="majorEastAsia"/>
          <w:b/>
          <w:bCs/>
          <w:color w:val="auto"/>
          <w:sz w:val="36"/>
          <w:szCs w:val="36"/>
          <w:highlight w:val="none"/>
        </w:rPr>
      </w:r>
      <w:r/>
    </w:p>
    <w:p>
      <w:pPr>
        <w:jc w:val="center"/>
        <w:spacing w:line="460" w:lineRule="exact"/>
        <w:rPr>
          <w:rFonts w:cs="宋体" w:asciiTheme="majorEastAsia" w:hAnsiTheme="majorEastAsia" w:eastAsiaTheme="majorEastAsia"/>
          <w:b/>
          <w:bCs/>
          <w:color w:val="auto"/>
          <w:sz w:val="36"/>
          <w:szCs w:val="36"/>
          <w:highlight w:val="none"/>
        </w:rPr>
      </w:pPr>
      <w:r>
        <w:rPr>
          <w:rFonts w:hint="eastAsia" w:cs="宋体" w:asciiTheme="majorEastAsia" w:hAnsiTheme="majorEastAsia" w:eastAsiaTheme="majorEastAsia"/>
          <w:b/>
          <w:bCs/>
          <w:color w:val="auto"/>
          <w:sz w:val="36"/>
          <w:szCs w:val="36"/>
          <w:highlight w:val="none"/>
        </w:rPr>
        <w:t xml:space="preserve">通扬运河市区段管制专班考核表</w:t>
      </w:r>
      <w:r/>
    </w:p>
    <w:p>
      <w:pPr>
        <w:pStyle w:val="840"/>
        <w:rPr>
          <w:b/>
          <w:color w:val="auto"/>
          <w:highlight w:val="none"/>
        </w:rPr>
      </w:pPr>
      <w:r>
        <w:rPr>
          <w:b/>
          <w:color w:val="auto"/>
          <w:highlight w:val="none"/>
        </w:rPr>
      </w:r>
      <w:r/>
    </w:p>
    <w:p>
      <w:pPr>
        <w:pStyle w:val="840"/>
        <w:jc w:val="center"/>
        <w:rPr>
          <w:b/>
          <w:color w:val="auto"/>
          <w:sz w:val="24"/>
          <w:highlight w:val="none"/>
        </w:rPr>
      </w:pPr>
      <w:r>
        <w:rPr>
          <w:rFonts w:hint="eastAsia"/>
          <w:b/>
          <w:color w:val="auto"/>
          <w:sz w:val="24"/>
          <w:highlight w:val="none"/>
          <w:u w:val="single"/>
        </w:rPr>
        <w:t xml:space="preserve">        </w:t>
      </w:r>
      <w:r>
        <w:rPr>
          <w:rFonts w:hint="eastAsia"/>
          <w:b/>
          <w:color w:val="auto"/>
          <w:sz w:val="24"/>
          <w:highlight w:val="none"/>
        </w:rPr>
        <w:t xml:space="preserve">年</w:t>
      </w:r>
      <w:r>
        <w:rPr>
          <w:rFonts w:hint="eastAsia"/>
          <w:b/>
          <w:color w:val="auto"/>
          <w:sz w:val="24"/>
          <w:highlight w:val="none"/>
          <w:u w:val="single"/>
        </w:rPr>
        <w:t xml:space="preserve">    </w:t>
      </w:r>
      <w:r>
        <w:rPr>
          <w:rFonts w:hint="eastAsia"/>
          <w:b/>
          <w:color w:val="auto"/>
          <w:sz w:val="24"/>
          <w:highlight w:val="none"/>
        </w:rPr>
        <w:t xml:space="preserve">季度</w:t>
      </w:r>
      <w:r/>
    </w:p>
    <w:tbl>
      <w:tblPr>
        <w:tblStyle w:val="836"/>
        <w:tblW w:w="53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22"/>
        <w:gridCol w:w="7751"/>
        <w:gridCol w:w="1193"/>
        <w:gridCol w:w="969"/>
        <w:gridCol w:w="1080"/>
        <w:gridCol w:w="537"/>
        <w:gridCol w:w="676"/>
        <w:gridCol w:w="902"/>
      </w:tblGrid>
      <w:tr>
        <w:trPr>
          <w:jc w:val="cente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00" w:lineRule="exact"/>
              <w:widowControl/>
              <w:rPr>
                <w:rFonts w:ascii="仿宋" w:hAnsi="仿宋" w:eastAsia="仿宋" w:cs="仿宋_GB2312"/>
                <w:b/>
                <w:color w:val="auto"/>
                <w:sz w:val="24"/>
                <w:szCs w:val="22"/>
                <w:highlight w:val="none"/>
              </w:rPr>
            </w:pPr>
            <w:r>
              <w:rPr>
                <w:rFonts w:hint="eastAsia" w:ascii="仿宋" w:hAnsi="仿宋" w:eastAsia="仿宋" w:cs="仿宋_GB2312"/>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lang w:val="zh-CN"/>
              </w:rPr>
              <w:t xml:space="preserve">考核项目</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lang w:val="zh-CN"/>
              </w:rPr>
              <w:t xml:space="preserve">具体内容</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lang w:val="zh-CN"/>
              </w:rPr>
              <w:t xml:space="preserve">分值</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rPr>
              <w:t xml:space="preserve">考核</w:t>
            </w:r>
            <w:r/>
          </w:p>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rPr>
              <w:t xml:space="preserve">部门</w:t>
            </w:r>
            <w:r/>
          </w:p>
        </w:tc>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rPr>
              <w:t xml:space="preserve">扣分</w:t>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rPr>
              <w:t xml:space="preserve">考核分</w:t>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00" w:lineRule="exact"/>
              <w:widowControl/>
              <w:rPr>
                <w:rFonts w:ascii="仿宋" w:hAnsi="仿宋" w:eastAsia="仿宋" w:cs="仿宋_GB2312"/>
                <w:b/>
                <w:color w:val="auto"/>
                <w:sz w:val="24"/>
                <w:highlight w:val="none"/>
              </w:rPr>
            </w:pPr>
            <w:r>
              <w:rPr>
                <w:rFonts w:hint="eastAsia" w:ascii="仿宋" w:hAnsi="仿宋" w:eastAsia="仿宋" w:cs="仿宋_GB2312"/>
                <w:b/>
                <w:color w:val="auto"/>
                <w:sz w:val="24"/>
                <w:highlight w:val="none"/>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00" w:lineRule="exact"/>
              <w:widowControl/>
              <w:rPr>
                <w:rFonts w:ascii="仿宋" w:hAnsi="仿宋" w:eastAsia="仿宋"/>
                <w:b/>
                <w:color w:val="auto"/>
                <w:sz w:val="24"/>
                <w:highlight w:val="none"/>
                <w:lang w:val="zh-CN"/>
              </w:rPr>
            </w:pPr>
            <w:r>
              <w:rPr>
                <w:rFonts w:hint="eastAsia" w:ascii="仿宋" w:hAnsi="仿宋" w:eastAsia="仿宋"/>
                <w:b/>
                <w:color w:val="auto"/>
                <w:sz w:val="24"/>
                <w:highlight w:val="none"/>
                <w:lang w:val="zh-CN"/>
              </w:rPr>
              <w:t xml:space="preserve">内务管理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保持管制船舶良好的卫生状况。环境卫生较差的，发现一次扣5分；</w:t>
            </w:r>
            <w:r/>
          </w:p>
          <w:p>
            <w:pPr>
              <w:ind w:left="98"/>
              <w:jc w:val="left"/>
              <w:spacing w:line="300" w:lineRule="exact"/>
              <w:rPr>
                <w:rFonts w:ascii="仿宋" w:hAnsi="仿宋" w:eastAsia="仿宋"/>
                <w:b/>
                <w:color w:val="auto"/>
                <w:sz w:val="24"/>
                <w:highlight w:val="none"/>
              </w:rPr>
            </w:pPr>
            <w:r>
              <w:rPr>
                <w:rFonts w:ascii="仿宋" w:hAnsi="仿宋" w:eastAsia="仿宋"/>
                <w:b/>
                <w:color w:val="auto"/>
                <w:sz w:val="24"/>
                <w:highlight w:val="none"/>
              </w:rPr>
              <w:t xml:space="preserve">2.</w:t>
            </w:r>
            <w:r>
              <w:rPr>
                <w:rFonts w:hint="eastAsia" w:ascii="仿宋" w:hAnsi="仿宋" w:eastAsia="仿宋"/>
                <w:b/>
                <w:color w:val="auto"/>
                <w:sz w:val="24"/>
                <w:highlight w:val="none"/>
              </w:rPr>
              <w:t xml:space="preserve">保持办公场所清洁卫生，物品摆放有序，违反规定的，发现一次扣5分;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3.管制点外部环境卫生较差，物品摆放杂乱或晾晒衣物被子的，发现一次扣5分;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4.未按规定悬挂国旗或国旗破损的，发现一次扣5分；</w:t>
            </w:r>
            <w:r/>
          </w:p>
          <w:p>
            <w:pPr>
              <w:ind w:left="98"/>
              <w:jc w:val="left"/>
              <w:spacing w:line="300" w:lineRule="exact"/>
              <w:rPr>
                <w:color w:val="auto"/>
                <w:highlight w:val="none"/>
              </w:rPr>
            </w:pPr>
            <w:r>
              <w:rPr>
                <w:rFonts w:hint="eastAsia" w:ascii="仿宋" w:hAnsi="仿宋" w:eastAsia="仿宋"/>
                <w:b/>
                <w:color w:val="auto"/>
                <w:sz w:val="24"/>
                <w:highlight w:val="none"/>
              </w:rPr>
              <w:t xml:space="preserve">5.产生的生活污水、生活垃圾未妥善处置的，发现一次扣10分。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t xml:space="preserve">10</w:t>
            </w:r>
            <w:r>
              <w:rPr>
                <w:rFonts w:hint="eastAsia" w:ascii="仿宋" w:hAnsi="仿宋" w:eastAsia="仿宋"/>
                <w:b/>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left"/>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二大队、</w:t>
            </w:r>
            <w:r/>
          </w:p>
          <w:p>
            <w:pPr>
              <w:pStyle w:val="840"/>
              <w:jc w:val="left"/>
              <w:spacing w:line="300" w:lineRule="exact"/>
              <w:rPr>
                <w:color w:val="auto"/>
                <w:highlight w:val="none"/>
              </w:rPr>
            </w:pPr>
            <w:r>
              <w:rPr>
                <w:rFonts w:hint="eastAsia" w:ascii="仿宋" w:hAnsi="仿宋" w:eastAsia="仿宋"/>
                <w:b/>
                <w:color w:val="auto"/>
                <w:sz w:val="24"/>
                <w:highlight w:val="none"/>
              </w:rPr>
              <w:t xml:space="preserve">办公室</w:t>
            </w:r>
            <w:r/>
          </w:p>
        </w:tc>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人员管理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ind w:left="98"/>
              <w:jc w:val="left"/>
              <w:spacing w:line="300" w:lineRule="exact"/>
              <w:rPr>
                <w:rFonts w:ascii="仿宋" w:hAnsi="仿宋" w:eastAsia="仿宋"/>
                <w:b/>
                <w:color w:val="auto"/>
                <w:sz w:val="24"/>
                <w:highlight w:val="none"/>
              </w:rPr>
            </w:pPr>
            <w:r>
              <w:rPr>
                <w:rFonts w:ascii="仿宋" w:hAnsi="仿宋" w:eastAsia="仿宋"/>
                <w:b/>
                <w:color w:val="auto"/>
                <w:sz w:val="24"/>
                <w:highlight w:val="none"/>
              </w:rPr>
              <w:t xml:space="preserve">1.</w:t>
            </w:r>
            <w:r>
              <w:rPr>
                <w:rFonts w:hint="eastAsia" w:ascii="仿宋" w:hAnsi="仿宋" w:eastAsia="仿宋"/>
                <w:b/>
                <w:color w:val="auto"/>
                <w:sz w:val="24"/>
                <w:highlight w:val="none"/>
              </w:rPr>
              <w:t xml:space="preserve">船舶落实专人负责管理，其他人员职责明确。职责不清的，发现一次扣5分；</w:t>
            </w:r>
            <w:r/>
          </w:p>
          <w:p>
            <w:pPr>
              <w:ind w:left="98"/>
              <w:jc w:val="left"/>
              <w:spacing w:line="300" w:lineRule="exact"/>
              <w:rPr>
                <w:rFonts w:ascii="仿宋" w:hAnsi="仿宋" w:eastAsia="仿宋"/>
                <w:b/>
                <w:color w:val="auto"/>
                <w:sz w:val="24"/>
                <w:highlight w:val="none"/>
              </w:rPr>
            </w:pPr>
            <w:r>
              <w:rPr>
                <w:rFonts w:ascii="仿宋" w:hAnsi="仿宋" w:eastAsia="仿宋"/>
                <w:b/>
                <w:color w:val="auto"/>
                <w:sz w:val="24"/>
                <w:highlight w:val="none"/>
              </w:rPr>
              <w:t xml:space="preserve">2</w:t>
            </w:r>
            <w:r>
              <w:rPr>
                <w:rFonts w:hint="eastAsia" w:ascii="仿宋" w:hAnsi="仿宋" w:eastAsia="仿宋"/>
                <w:b/>
                <w:color w:val="auto"/>
                <w:sz w:val="24"/>
                <w:highlight w:val="none"/>
              </w:rPr>
              <w:t xml:space="preserve">.管制人员工作期间不得擅自离岗，发现一次扣5分；</w:t>
            </w:r>
            <w:r/>
          </w:p>
          <w:p>
            <w:pPr>
              <w:ind w:left="98"/>
              <w:jc w:val="left"/>
              <w:spacing w:line="300" w:lineRule="exact"/>
              <w:rPr>
                <w:rFonts w:ascii="仿宋" w:hAnsi="仿宋" w:eastAsia="仿宋"/>
                <w:b/>
                <w:color w:val="auto"/>
                <w:sz w:val="24"/>
                <w:highlight w:val="none"/>
              </w:rPr>
            </w:pPr>
            <w:r>
              <w:rPr>
                <w:rFonts w:ascii="仿宋" w:hAnsi="仿宋" w:eastAsia="仿宋"/>
                <w:b/>
                <w:color w:val="auto"/>
                <w:sz w:val="24"/>
                <w:highlight w:val="none"/>
              </w:rPr>
              <w:t xml:space="preserve">3.</w:t>
            </w:r>
            <w:r>
              <w:rPr>
                <w:rFonts w:hint="eastAsia" w:ascii="仿宋" w:hAnsi="仿宋" w:eastAsia="仿宋"/>
                <w:b/>
                <w:color w:val="auto"/>
                <w:sz w:val="24"/>
                <w:highlight w:val="none"/>
              </w:rPr>
              <w:t xml:space="preserve">未安排专人处理超高报警和查看视频监控的，发现一次扣5分；</w:t>
            </w:r>
            <w:r/>
          </w:p>
          <w:p>
            <w:pPr>
              <w:ind w:left="98"/>
              <w:jc w:val="left"/>
              <w:spacing w:line="300" w:lineRule="exact"/>
              <w:rPr>
                <w:rFonts w:ascii="仿宋" w:hAnsi="仿宋" w:eastAsia="仿宋"/>
                <w:b/>
                <w:color w:val="auto"/>
                <w:sz w:val="24"/>
                <w:highlight w:val="none"/>
              </w:rPr>
            </w:pPr>
            <w:r>
              <w:rPr>
                <w:rFonts w:ascii="仿宋" w:hAnsi="仿宋" w:eastAsia="仿宋"/>
                <w:b/>
                <w:color w:val="auto"/>
                <w:sz w:val="24"/>
                <w:highlight w:val="none"/>
              </w:rPr>
              <w:t xml:space="preserve">4.</w:t>
            </w:r>
            <w:r>
              <w:rPr>
                <w:rFonts w:hint="eastAsia" w:ascii="仿宋" w:hAnsi="仿宋" w:eastAsia="仿宋"/>
                <w:b/>
                <w:color w:val="auto"/>
                <w:sz w:val="24"/>
                <w:highlight w:val="none"/>
              </w:rPr>
              <w:t xml:space="preserve">未留有人员值守甚高频的，发现一次扣5分；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5.当班管制人员未按规定穿着工作服的，发现一次扣5分；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6</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舱外工作人员未按照规定穿救生衣，发现一次扣5分；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7.管制人员上班期间未保持端庄得体，未使用文明用语的，发现一次扣5分；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8.管制人员上班期间饮酒的，发现一次扣50分；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9.管制人员擅自登船检查、与船员接触的，该项不得分。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b/>
                <w:color w:val="auto"/>
                <w:sz w:val="24"/>
                <w:szCs w:val="22"/>
                <w:highlight w:val="none"/>
              </w:rPr>
            </w:pPr>
            <w:r>
              <w:rPr>
                <w:rFonts w:hint="eastAsia" w:ascii="仿宋" w:hAnsi="仿宋" w:eastAsia="仿宋"/>
                <w:b/>
                <w:color w:val="auto"/>
                <w:sz w:val="24"/>
                <w:highlight w:val="none"/>
              </w:rPr>
              <w:t xml:space="preserve">200</w:t>
            </w:r>
            <w:r>
              <w:rPr>
                <w:rFonts w:ascii="仿宋" w:hAnsi="仿宋" w:eastAsia="仿宋"/>
                <w:b/>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spacing w:line="300" w:lineRule="exact"/>
              <w:widowControl/>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二</w:t>
            </w:r>
            <w:r>
              <w:rPr>
                <w:rFonts w:hint="eastAsia" w:ascii="仿宋" w:hAnsi="仿宋" w:eastAsia="仿宋"/>
                <w:b/>
                <w:color w:val="auto"/>
                <w:sz w:val="24"/>
                <w:highlight w:val="none"/>
              </w:rPr>
              <w:t xml:space="preserve">大队、办公室</w:t>
            </w:r>
            <w:r/>
          </w:p>
        </w:tc>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left"/>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r>
      <w:tr>
        <w:trPr>
          <w:jc w:val="center"/>
          <w:trHeight w:val="2258"/>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00" w:lineRule="exact"/>
              <w:widowControl/>
              <w:rPr>
                <w:rFonts w:ascii="仿宋" w:hAnsi="仿宋" w:eastAsia="仿宋"/>
                <w:b/>
                <w:color w:val="auto"/>
                <w:sz w:val="24"/>
                <w:highlight w:val="none"/>
              </w:rPr>
            </w:pPr>
            <w:r>
              <w:rPr>
                <w:rFonts w:ascii="仿宋" w:hAnsi="仿宋" w:eastAsia="仿宋"/>
                <w:b/>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现场管理</w:t>
            </w:r>
            <w:r/>
          </w:p>
        </w:tc>
        <w:tc>
          <w:tcPr>
            <w:gridSpan w:val="2"/>
            <w:tcBorders>
              <w:top w:val="single" w:color="auto" w:sz="4" w:space="0"/>
              <w:left w:val="single" w:color="auto" w:sz="4" w:space="0"/>
              <w:right w:val="single" w:color="auto" w:sz="4" w:space="0"/>
            </w:tcBorders>
            <w:tcW w:w="2963" w:type="pct"/>
            <w:vAlign w:val="center"/>
            <w:textDirection w:val="lrTb"/>
            <w:noWrap w:val="false"/>
          </w:tcPr>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1.未按规定登记管制台账的，发现一次扣5分；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2.台账登记不规范，字迹不清的，发现一次扣5分；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3.管制期间未通过高频对船员进行安全宣传提醒的（至少3次），发现一次扣10分；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4.管制期间未通过视频监控系统进行巡查的（至少3次），发现一次扣10分；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5. 对于抢档、追越、不服从管理的船舶，未及时通知执法机构的，发现一次扣10分；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6.如放行时段船舶流量大，未进行现场管理、维持通航秩序的，发现一次扣10分；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7.放行时段结束未通过视频监控查看航道是否清空，发现一次扣10分；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8.对于未封舱、遮挡船名等显性违章未及时记录并通知执法机构的，发现一次扣10分；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9.对于误报的超高报警信息未及时处理的，发现一次扣10分；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10.放行或禁行时段，未进行屏幕发布管理及时切换交通标识的，发现一次扣10分；</w:t>
            </w:r>
            <w:r/>
          </w:p>
          <w:p>
            <w:pPr>
              <w:pStyle w:val="840"/>
              <w:ind w:firstLine="118"/>
              <w:rPr>
                <w:rFonts w:ascii="仿宋" w:hAnsi="仿宋" w:eastAsia="仿宋"/>
                <w:b/>
                <w:color w:val="auto"/>
                <w:sz w:val="24"/>
                <w:highlight w:val="none"/>
              </w:rPr>
            </w:pPr>
            <w:r>
              <w:rPr>
                <w:rFonts w:hint="eastAsia" w:ascii="仿宋" w:hAnsi="仿宋" w:eastAsia="仿宋"/>
                <w:b/>
                <w:color w:val="auto"/>
                <w:sz w:val="24"/>
                <w:highlight w:val="none"/>
              </w:rPr>
              <w:t xml:space="preserve">11.每月至少召开一次安全教育培训会议，缺一次扣20分；</w:t>
            </w:r>
            <w:r/>
          </w:p>
          <w:p>
            <w:pPr>
              <w:pStyle w:val="840"/>
              <w:ind w:firstLine="118"/>
              <w:rPr>
                <w:rFonts w:ascii="仿宋" w:hAnsi="仿宋" w:eastAsia="仿宋"/>
                <w:b/>
                <w:color w:val="auto"/>
                <w:sz w:val="24"/>
                <w:highlight w:val="none"/>
              </w:rPr>
            </w:pPr>
            <w:r>
              <w:rPr>
                <w:rFonts w:hint="eastAsia" w:ascii="仿宋" w:hAnsi="仿宋" w:eastAsia="仿宋"/>
                <w:b/>
                <w:color w:val="auto"/>
                <w:sz w:val="24"/>
                <w:highlight w:val="none"/>
              </w:rPr>
              <w:t xml:space="preserve">12</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放行净空高度4米以上危险货物运输船舶或轮队的，发现一次扣50分；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13.水位低于2</w:t>
            </w:r>
            <w:r>
              <w:rPr>
                <w:rFonts w:ascii="仿宋" w:hAnsi="仿宋" w:eastAsia="仿宋"/>
                <w:b/>
                <w:color w:val="auto"/>
                <w:sz w:val="24"/>
                <w:highlight w:val="none"/>
              </w:rPr>
              <w:t xml:space="preserve">.2</w:t>
            </w:r>
            <w:r>
              <w:rPr>
                <w:rFonts w:hint="eastAsia" w:ascii="仿宋" w:hAnsi="仿宋" w:eastAsia="仿宋"/>
                <w:b/>
                <w:color w:val="auto"/>
                <w:sz w:val="24"/>
                <w:highlight w:val="none"/>
              </w:rPr>
              <w:t xml:space="preserve">米、高于2</w:t>
            </w:r>
            <w:r>
              <w:rPr>
                <w:rFonts w:ascii="仿宋" w:hAnsi="仿宋" w:eastAsia="仿宋"/>
                <w:b/>
                <w:color w:val="auto"/>
                <w:sz w:val="24"/>
                <w:highlight w:val="none"/>
              </w:rPr>
              <w:t xml:space="preserve">.6</w:t>
            </w:r>
            <w:r>
              <w:rPr>
                <w:rFonts w:hint="eastAsia" w:ascii="仿宋" w:hAnsi="仿宋" w:eastAsia="仿宋"/>
                <w:b/>
                <w:color w:val="auto"/>
                <w:sz w:val="24"/>
                <w:highlight w:val="none"/>
              </w:rPr>
              <w:t xml:space="preserve">米时，未停止放行的，发现一次扣50分；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14.管制期间未对触发超高报警的船舶进行处置的，发现一次扣50分；</w:t>
            </w:r>
            <w:r/>
          </w:p>
          <w:p>
            <w:pPr>
              <w:ind w:left="9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15.发生水上交通险情时，未第一时间上报交通执法机构的，发现一次扣50分；</w:t>
            </w:r>
            <w:r/>
          </w:p>
          <w:p>
            <w:pPr>
              <w:pStyle w:val="840"/>
              <w:ind w:firstLine="118"/>
              <w:rPr>
                <w:color w:val="auto"/>
                <w:highlight w:val="none"/>
              </w:rPr>
            </w:pPr>
            <w:r>
              <w:rPr>
                <w:rFonts w:hint="eastAsia" w:ascii="仿宋" w:hAnsi="仿宋" w:eastAsia="仿宋"/>
                <w:b/>
                <w:color w:val="auto"/>
                <w:sz w:val="24"/>
                <w:highlight w:val="none"/>
              </w:rPr>
              <w:t xml:space="preserve">16.未配合交通执法机构对临时停泊水域、禁止停泊水域进行宣传提醒和现场管理的，</w:t>
            </w:r>
            <w:r>
              <w:rPr>
                <w:rFonts w:hint="eastAsia" w:ascii="仿宋" w:hAnsi="仿宋" w:eastAsia="仿宋"/>
                <w:b/>
                <w:color w:val="auto"/>
                <w:sz w:val="24"/>
                <w:highlight w:val="none"/>
              </w:rPr>
              <w:t xml:space="preserve">发现一次扣50分。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500</w:t>
            </w:r>
            <w:r/>
          </w:p>
        </w:tc>
        <w:tc>
          <w:tcPr>
            <w:tcBorders>
              <w:top w:val="single" w:color="auto" w:sz="4" w:space="0"/>
              <w:left w:val="single" w:color="auto" w:sz="4" w:space="0"/>
              <w:right w:val="single" w:color="auto" w:sz="4" w:space="0"/>
            </w:tcBorders>
            <w:tcW w:w="358" w:type="pct"/>
            <w:vAlign w:val="center"/>
            <w:textDirection w:val="lrTb"/>
            <w:noWrap w:val="false"/>
          </w:tcPr>
          <w:p>
            <w:pPr>
              <w:jc w:val="left"/>
              <w:spacing w:line="300" w:lineRule="exact"/>
              <w:widowControl/>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二大队、</w:t>
            </w:r>
            <w:r/>
          </w:p>
          <w:p>
            <w:pPr>
              <w:pStyle w:val="840"/>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财务科</w:t>
            </w:r>
            <w:r/>
          </w:p>
        </w:tc>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left"/>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r>
      <w:tr>
        <w:trPr>
          <w:jc w:val="center"/>
          <w:trHeight w:val="590"/>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00" w:lineRule="exact"/>
              <w:widowControl/>
              <w:rPr>
                <w:rFonts w:ascii="仿宋" w:hAnsi="仿宋" w:eastAsia="仿宋"/>
                <w:b/>
                <w:color w:val="auto"/>
                <w:sz w:val="24"/>
                <w:highlight w:val="none"/>
                <w:lang w:val="zh-CN"/>
              </w:rPr>
            </w:pPr>
            <w:r>
              <w:rPr>
                <w:rFonts w:hint="eastAsia" w:ascii="仿宋" w:hAnsi="仿宋" w:eastAsia="仿宋"/>
                <w:b/>
                <w:color w:val="auto"/>
                <w:sz w:val="24"/>
                <w:highlight w:val="none"/>
                <w:lang w:val="zh-CN"/>
              </w:rPr>
              <w:t xml:space="preserve">社会责任</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pStyle w:val="1183"/>
              <w:ind w:firstLine="0"/>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 1.</w:t>
            </w:r>
            <w:r>
              <w:rPr>
                <w:rFonts w:hint="eastAsia" w:ascii="仿宋" w:hAnsi="仿宋" w:eastAsia="仿宋" w:cs="宋体"/>
                <w:b/>
                <w:color w:val="auto"/>
                <w:sz w:val="24"/>
                <w:highlight w:val="none"/>
              </w:rPr>
              <w:t xml:space="preserve">有投诉举报被查实的，发现一次</w:t>
            </w:r>
            <w:r>
              <w:rPr>
                <w:rFonts w:hint="eastAsia" w:ascii="仿宋" w:hAnsi="仿宋" w:eastAsia="仿宋"/>
                <w:b/>
                <w:color w:val="auto"/>
                <w:sz w:val="24"/>
                <w:highlight w:val="none"/>
              </w:rPr>
              <w:t xml:space="preserve">扣50分；</w:t>
            </w:r>
            <w:r/>
          </w:p>
          <w:p>
            <w:pPr>
              <w:ind w:firstLine="118"/>
              <w:spacing w:line="300" w:lineRule="exact"/>
              <w:rPr>
                <w:rFonts w:ascii="仿宋" w:hAnsi="仿宋" w:eastAsia="仿宋"/>
                <w:b/>
                <w:color w:val="auto"/>
                <w:sz w:val="24"/>
                <w:highlight w:val="none"/>
              </w:rPr>
            </w:pPr>
            <w:r>
              <w:rPr>
                <w:rFonts w:hint="eastAsia" w:ascii="仿宋" w:hAnsi="仿宋" w:eastAsia="仿宋" w:cs="宋体"/>
                <w:b/>
                <w:color w:val="auto"/>
                <w:sz w:val="24"/>
                <w:highlight w:val="none"/>
              </w:rPr>
              <w:t xml:space="preserve">2.管制人员有吃拿卡要行为，</w:t>
            </w:r>
            <w:r>
              <w:rPr>
                <w:rFonts w:hint="eastAsia" w:ascii="仿宋" w:hAnsi="仿宋" w:eastAsia="仿宋"/>
                <w:b/>
                <w:color w:val="auto"/>
                <w:sz w:val="24"/>
                <w:highlight w:val="none"/>
              </w:rPr>
              <w:t xml:space="preserve">该项不得分；</w:t>
            </w:r>
            <w:r/>
          </w:p>
          <w:p>
            <w:pPr>
              <w:ind w:firstLine="118"/>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3.发生水上交通事故或险情，未服从执法人员调度、及时参与处置的，</w:t>
            </w:r>
            <w:r>
              <w:rPr>
                <w:rFonts w:hint="eastAsia" w:ascii="仿宋" w:hAnsi="仿宋" w:eastAsia="仿宋"/>
                <w:b/>
                <w:color w:val="auto"/>
                <w:sz w:val="24"/>
                <w:highlight w:val="none"/>
              </w:rPr>
              <w:t xml:space="preserve">该项不得分；</w:t>
            </w:r>
            <w:r/>
          </w:p>
          <w:p>
            <w:pPr>
              <w:pStyle w:val="1183"/>
              <w:ind w:firstLine="118"/>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4</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因第三方责任造成重大责任事故的，该项不得分；</w:t>
            </w:r>
            <w:r/>
          </w:p>
          <w:p>
            <w:pPr>
              <w:pStyle w:val="1183"/>
              <w:ind w:firstLine="0"/>
              <w:jc w:val="left"/>
              <w:spacing w:line="300" w:lineRule="exact"/>
              <w:rPr>
                <w:rFonts w:ascii="仿宋" w:hAnsi="仿宋" w:eastAsia="仿宋"/>
                <w:b/>
                <w:color w:val="auto"/>
                <w:sz w:val="24"/>
                <w:highlight w:val="none"/>
              </w:rPr>
            </w:pPr>
            <w:r>
              <w:rPr>
                <w:rFonts w:hint="eastAsia" w:ascii="仿宋" w:hAnsi="仿宋" w:eastAsia="仿宋"/>
                <w:b/>
                <w:color w:val="auto"/>
                <w:sz w:val="24"/>
                <w:highlight w:val="none"/>
              </w:rPr>
              <w:t xml:space="preserve"> 5.未严格履行“现场管理”第11-14条工作职责，造成水上交通事故或一定社会影响的，该项不得分。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200</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spacing w:line="300" w:lineRule="exact"/>
              <w:widowControl/>
              <w:rPr>
                <w:rFonts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二大队、纪检室</w:t>
            </w:r>
            <w:r/>
          </w:p>
        </w:tc>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spacing w:line="300" w:lineRule="exact"/>
              <w:widowControl/>
              <w:rPr>
                <w:rFonts w:ascii="仿宋" w:hAnsi="仿宋" w:eastAsia="仿宋"/>
                <w:b/>
                <w:color w:val="auto"/>
                <w:sz w:val="24"/>
                <w:highlight w:val="none"/>
                <w:lang w:val="zh-CN"/>
              </w:rPr>
            </w:pPr>
            <w:r>
              <w:rPr>
                <w:rFonts w:hint="eastAsia" w:ascii="仿宋" w:hAnsi="仿宋" w:eastAsia="仿宋"/>
                <w:b/>
                <w:color w:val="auto"/>
                <w:sz w:val="24"/>
                <w:highlight w:val="none"/>
                <w:lang w:val="zh-CN"/>
              </w:rPr>
              <w:t xml:space="preserve">合计得分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left"/>
              <w:spacing w:line="3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备注：每一项内容分数扣完为止。</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1000</w:t>
            </w:r>
            <w:r/>
          </w:p>
        </w:tc>
        <w:tc>
          <w:tcPr>
            <w:gridSpan w:val="2"/>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24"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spacing w:line="300" w:lineRule="exact"/>
              <w:widowControl/>
              <w:rPr>
                <w:rFonts w:ascii="仿宋" w:hAnsi="仿宋" w:eastAsia="仿宋"/>
                <w:b/>
                <w:color w:val="auto"/>
                <w:spacing w:val="-20"/>
                <w:sz w:val="24"/>
                <w:highlight w:val="none"/>
                <w:lang w:val="zh-CN"/>
              </w:rPr>
            </w:pPr>
            <w:r>
              <w:rPr>
                <w:rFonts w:hint="eastAsia" w:ascii="仿宋" w:hAnsi="仿宋" w:eastAsia="仿宋"/>
                <w:b/>
                <w:color w:val="auto"/>
                <w:spacing w:val="-20"/>
                <w:sz w:val="24"/>
                <w:highlight w:val="none"/>
                <w:lang w:val="zh-CN"/>
              </w:rPr>
              <w:t xml:space="preserve">考核组成员签名</w:t>
            </w:r>
            <w:r/>
          </w:p>
        </w:tc>
        <w:tc>
          <w:tcPr>
            <w:tcBorders>
              <w:top w:val="single" w:color="auto" w:sz="4" w:space="0"/>
              <w:left w:val="single" w:color="auto" w:sz="4" w:space="0"/>
              <w:bottom w:val="single" w:color="auto" w:sz="4" w:space="0"/>
              <w:right w:val="single" w:color="auto" w:sz="4" w:space="0"/>
            </w:tcBorders>
            <w:tcW w:w="2568" w:type="pct"/>
            <w:vAlign w:val="center"/>
            <w:textDirection w:val="lrTb"/>
            <w:noWrap w:val="false"/>
          </w:tcPr>
          <w:p>
            <w:pPr>
              <w:jc w:val="left"/>
              <w:spacing w:line="300" w:lineRule="exact"/>
              <w:widowControl/>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ascii="仿宋" w:hAnsi="仿宋" w:eastAsia="仿宋"/>
                <w:b/>
                <w:color w:val="auto"/>
                <w:sz w:val="24"/>
                <w:highlight w:val="none"/>
              </w:rPr>
            </w:pPr>
            <w:r>
              <w:rPr>
                <w:rFonts w:hint="eastAsia" w:ascii="仿宋" w:hAnsi="仿宋" w:eastAsia="仿宋"/>
                <w:b/>
                <w:color w:val="auto"/>
                <w:sz w:val="24"/>
                <w:highlight w:val="none"/>
              </w:rPr>
              <w:t xml:space="preserve">考核时间</w:t>
            </w:r>
            <w:r/>
          </w:p>
        </w:tc>
        <w:tc>
          <w:tcPr>
            <w:gridSpan w:val="5"/>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center"/>
              <w:spacing w:line="300" w:lineRule="exact"/>
              <w:widowControl/>
              <w:rPr>
                <w:rFonts w:ascii="仿宋" w:hAnsi="仿宋" w:eastAsia="仿宋"/>
                <w:b/>
                <w:bCs/>
                <w:color w:val="auto"/>
                <w:sz w:val="24"/>
                <w:highlight w:val="none"/>
                <w:lang w:val="zh-CN"/>
              </w:rPr>
            </w:pPr>
            <w:r>
              <w:rPr>
                <w:rFonts w:ascii="仿宋" w:hAnsi="仿宋" w:eastAsia="仿宋"/>
                <w:b/>
                <w:bCs/>
                <w:color w:val="auto"/>
                <w:sz w:val="24"/>
                <w:highlight w:val="none"/>
                <w:lang w:val="zh-CN"/>
              </w:rPr>
            </w:r>
            <w:r/>
          </w:p>
        </w:tc>
      </w:tr>
    </w:tbl>
    <w:p>
      <w:pPr>
        <w:jc w:val="left"/>
        <w:spacing w:line="240" w:lineRule="exact"/>
        <w:rPr>
          <w:rFonts w:eastAsia="方正仿宋_GBK"/>
          <w:b/>
          <w:bCs/>
          <w:color w:val="auto"/>
          <w:sz w:val="24"/>
          <w:highlight w:val="none"/>
        </w:rPr>
      </w:pPr>
      <w:r>
        <w:rPr>
          <w:rFonts w:eastAsia="方正仿宋_GBK"/>
          <w:b/>
          <w:bCs/>
          <w:color w:val="auto"/>
          <w:sz w:val="24"/>
          <w:highlight w:val="none"/>
        </w:rPr>
      </w:r>
      <w:r/>
    </w:p>
    <w:p>
      <w:pPr>
        <w:jc w:val="left"/>
        <w:spacing w:line="240" w:lineRule="exact"/>
        <w:rPr>
          <w:rFonts w:ascii="仿宋" w:hAnsi="仿宋" w:eastAsia="仿宋"/>
          <w:b/>
          <w:color w:val="auto"/>
          <w:szCs w:val="32"/>
          <w:highlight w:val="none"/>
        </w:rPr>
      </w:pPr>
      <w:r>
        <w:rPr>
          <w:rFonts w:hint="eastAsia" w:ascii="仿宋" w:hAnsi="仿宋" w:eastAsia="仿宋"/>
          <w:b/>
          <w:bCs/>
          <w:color w:val="auto"/>
          <w:sz w:val="24"/>
          <w:highlight w:val="none"/>
        </w:rPr>
        <w:t xml:space="preserve">备注：</w:t>
      </w:r>
      <w:r>
        <w:rPr>
          <w:rFonts w:hint="eastAsia" w:ascii="仿宋" w:hAnsi="仿宋" w:eastAsia="仿宋"/>
          <w:b/>
          <w:color w:val="auto"/>
          <w:sz w:val="24"/>
          <w:highlight w:val="none"/>
        </w:rPr>
        <w:t xml:space="preserve">每季度对第三方管制情况进行考核(第四季度结合年度管制情况一并考核)，包括内务管理、人员管理、现场管理、社会责任等。如有不符合相关规定、要求的，按照考核表中“考核项目” 进行扣分，</w:t>
      </w:r>
      <w:r>
        <w:rPr>
          <w:rFonts w:hint="eastAsia" w:ascii="仿宋" w:hAnsi="仿宋" w:eastAsia="仿宋"/>
          <w:b/>
          <w:bCs/>
          <w:color w:val="auto"/>
          <w:sz w:val="24"/>
          <w:highlight w:val="none"/>
        </w:rPr>
        <w:t xml:space="preserve">每一项内容分数扣完为止</w:t>
      </w:r>
      <w:r>
        <w:rPr>
          <w:rFonts w:hint="eastAsia" w:ascii="仿宋" w:hAnsi="仿宋" w:eastAsia="仿宋"/>
          <w:b/>
          <w:color w:val="auto"/>
          <w:sz w:val="24"/>
          <w:highlight w:val="none"/>
        </w:rPr>
        <w:t xml:space="preserve">。</w:t>
      </w:r>
      <w:r/>
    </w:p>
    <w:p>
      <w:pPr>
        <w:ind w:firstLine="560"/>
        <w:jc w:val="left"/>
        <w:spacing w:line="460" w:lineRule="exact"/>
        <w:rPr>
          <w:rFonts w:hint="eastAsia" w:ascii="宋体" w:hAnsi="宋体" w:eastAsia="宋体" w:cs="宋体"/>
          <w:color w:val="auto"/>
          <w:sz w:val="28"/>
          <w:szCs w:val="28"/>
          <w:highlight w:val="none"/>
        </w:rPr>
        <w:sectPr>
          <w:footnotePr/>
          <w:endnotePr/>
          <w:type w:val="nextPage"/>
          <w:pgSz w:w="16839" w:h="11907" w:orient="landscape"/>
          <w:pgMar w:top="1080" w:right="1440" w:bottom="1080" w:left="1440" w:header="720" w:footer="720" w:gutter="0"/>
          <w:cols w:num="1" w:sep="0" w:space="720" w:equalWidth="1"/>
          <w:docGrid w:linePitch="360"/>
        </w:sectPr>
      </w:pPr>
      <w:r>
        <w:rPr>
          <w:rFonts w:hint="eastAsia" w:ascii="宋体" w:hAnsi="宋体" w:eastAsia="宋体" w:cs="宋体"/>
          <w:color w:val="auto"/>
          <w:sz w:val="28"/>
          <w:szCs w:val="28"/>
          <w:highlight w:val="none"/>
        </w:rPr>
      </w:r>
      <w:r/>
    </w:p>
    <w:p>
      <w:pPr>
        <w:pStyle w:val="861"/>
        <w:ind w:firstLine="562"/>
        <w:spacing w:after="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招标人验收合格无质量、进度等问题的，招标人在本项目验收合格后扣除相应的费用（如有）一次性退还履约保证金，招标人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a.签订合同后，中标人不履行合同义务的，招标人有权全额扣除履约保证金，全额不予退还，同时招标人亦有权终止合同，中标人还须承担相应的法律赔偿责任。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p>
    <w:p>
      <w:pPr>
        <w:pStyle w:val="1175"/>
        <w:numPr>
          <w:ilvl w:val="0"/>
          <w:numId w:val="0"/>
        </w:numPr>
        <w:ind w:firstLine="560"/>
        <w:keepLines w:val="0"/>
        <w:keepNext w:val="0"/>
        <w:pageBreakBefore w:val="0"/>
        <w:spacing w:after="0" w:line="480" w:lineRule="exact"/>
        <w:widowControl w:val="off"/>
        <w:tabs>
          <w:tab w:val="left" w:pos="8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"http://www.ccgp-jiangsu.gov.cn/jisngsu/zlxz/)。" </w:instrText>
      </w:r>
      <w:r>
        <w:rPr>
          <w:rFonts w:hint="eastAsia" w:ascii="宋体" w:hAnsi="宋体" w:cs="宋体"/>
          <w:color w:val="auto"/>
          <w:sz w:val="28"/>
          <w:szCs w:val="28"/>
          <w:highlight w:val="none"/>
        </w:rPr>
        <w:fldChar w:fldCharType="separate"/>
      </w:r>
      <w:r>
        <w:rPr>
          <w:rStyle w:val="866"/>
          <w:rFonts w:hint="eastAsia" w:ascii="宋体" w:hAnsi="宋体" w:cs="宋体"/>
          <w:color w:val="auto"/>
          <w:sz w:val="28"/>
          <w:szCs w:val="28"/>
          <w:highlight w:val="none"/>
        </w:rPr>
        <w:t xml:space="preserve">www.ccgp-jiangsu.gov.cn/jisngsu/zlxz/)。</w:t>
      </w:r>
      <w:r>
        <w:rPr>
          <w:rFonts w:hint="eastAsia" w:ascii="宋体" w:hAnsi="宋体" w:cs="宋体"/>
          <w:color w:val="auto"/>
          <w:sz w:val="28"/>
          <w:szCs w:val="28"/>
          <w:highlight w:val="none"/>
        </w:rPr>
        <w:fldChar w:fldCharType="end"/>
      </w:r>
      <w:r/>
    </w:p>
    <w:p>
      <w:pPr>
        <w:pStyle w:val="1175"/>
        <w:numPr>
          <w:ilvl w:val="0"/>
          <w:numId w:val="0"/>
        </w:numPr>
        <w:ind w:firstLine="562"/>
        <w:keepLines w:val="0"/>
        <w:keepNext w:val="0"/>
        <w:pageBreakBefore w:val="0"/>
        <w:spacing w:after="0" w:line="480" w:lineRule="exact"/>
        <w:widowControl w:val="off"/>
        <w:tabs>
          <w:tab w:val="left" w:pos="851" w:leader="none"/>
        </w:tabs>
        <w:rPr>
          <w:rFonts w:hint="default"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六、采购需求中必须满足的实质性要求</w:t>
      </w:r>
      <w:r/>
    </w:p>
    <w:p>
      <w:pPr>
        <w:ind w:firstLine="562"/>
        <w:spacing w:line="460" w:lineRule="exact"/>
        <w:rPr>
          <w:rFonts w:ascii="宋体" w:hAnsi="宋体" w:cs="宋体"/>
          <w:b/>
          <w:bCs/>
          <w:color w:val="auto"/>
          <w:sz w:val="28"/>
          <w:szCs w:val="28"/>
          <w:highlight w:val="none"/>
        </w:rPr>
      </w:pPr>
      <w:r/>
      <w:bookmarkStart w:id="59" w:name="_Toc16938559"/>
      <w:r/>
      <w:bookmarkStart w:id="60" w:name="_Toc20823315"/>
      <w:r/>
      <w:bookmarkStart w:id="61" w:name="_Toc513029243"/>
      <w:r>
        <w:rPr>
          <w:rFonts w:hint="eastAsia" w:ascii="宋体" w:hAnsi="宋体" w:cs="宋体"/>
          <w:b/>
          <w:bCs/>
          <w:i/>
          <w:iCs/>
          <w:color w:val="auto"/>
          <w:sz w:val="28"/>
          <w:szCs w:val="28"/>
          <w:highlight w:val="none"/>
          <w:u w:val="single"/>
          <w:lang w:val="en-US" w:eastAsia="zh-CN"/>
        </w:rPr>
        <w:t xml:space="preserve">1.</w:t>
      </w:r>
      <w:r>
        <w:rPr>
          <w:rFonts w:hint="eastAsia" w:ascii="宋体" w:hAnsi="宋体" w:cs="宋体"/>
          <w:b/>
          <w:bCs/>
          <w:i/>
          <w:iCs/>
          <w:color w:val="auto"/>
          <w:sz w:val="28"/>
          <w:szCs w:val="28"/>
          <w:highlight w:val="none"/>
          <w:u w:val="single"/>
        </w:rPr>
        <w:t xml:space="preserve">投标报价不超过最高限价，投标总价为包含项目达到使用要求的所有费用，投标时出具承诺函（格式自拟），不提供或承诺不满足要求的按无效标处理。</w:t>
      </w:r>
      <w:r/>
    </w:p>
    <w:p>
      <w:pPr>
        <w:ind w:left="0" w:firstLine="562"/>
        <w:keepLines w:val="0"/>
        <w:keepNext w:val="0"/>
        <w:pageBreakBefore w:val="0"/>
        <w:spacing w:line="480" w:lineRule="exact"/>
        <w:widowControl w:val="off"/>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七、合同模板</w:t>
      </w:r>
      <w:bookmarkEnd w:id="59"/>
      <w:r/>
      <w:bookmarkEnd w:id="60"/>
      <w:r/>
      <w:bookmarkEnd w:id="61"/>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采购单位（或称甲方）：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中标供应商（或称乙方）：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年   月   日</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ind w:firstLine="55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根据《中华人民共和国政府采购法》、《中华人民共和国民法典》及</w:t>
      </w:r>
      <w:r>
        <w:rPr>
          <w:rFonts w:hint="eastAsia" w:ascii="宋体" w:hAnsi="宋体" w:eastAsia="宋体" w:cs="宋体"/>
          <w:color w:val="auto"/>
          <w:sz w:val="24"/>
          <w:szCs w:val="24"/>
          <w:highlight w:val="none"/>
          <w:u w:val="single"/>
        </w:rPr>
        <w:t xml:space="preserve">      年   月   日         采购</w:t>
      </w:r>
      <w:r>
        <w:rPr>
          <w:rFonts w:hint="eastAsia" w:ascii="宋体" w:hAnsi="宋体" w:eastAsia="宋体" w:cs="宋体"/>
          <w:color w:val="auto"/>
          <w:sz w:val="24"/>
          <w:szCs w:val="24"/>
          <w:highlight w:val="none"/>
        </w:rPr>
        <w:t xml:space="preserve">项目(采购编号：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)的采购结果、采购文件及投标文件，经双方协商一致，签订本合同。</w:t>
      </w:r>
      <w:bookmarkStart w:id="62" w:name="_Toc81879411"/>
      <w:r/>
      <w:r/>
    </w:p>
    <w:p>
      <w:pPr>
        <w:ind w:firstLine="47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1.服务：</w:t>
      </w:r>
      <w:bookmarkEnd w:id="62"/>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1.1乙方向甲方提供通扬运河市区段水上交通秩序水上交通管制第三方服务。</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1.2乙方按其投标文件提供的货物及服务必须满足采购文件的各项要求。</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1.3乙方提供的技术服务等不得低于采购文件的要求及投标文件承诺的标准。</w:t>
      </w:r>
      <w:bookmarkStart w:id="63" w:name="_Toc81879412"/>
      <w:r/>
      <w:r/>
    </w:p>
    <w:p>
      <w:pPr>
        <w:ind w:left="420"/>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2.价格</w:t>
      </w:r>
      <w:r>
        <w:rPr>
          <w:rFonts w:hint="eastAsia" w:ascii="宋体" w:hAnsi="宋体" w:eastAsia="宋体" w:cs="宋体"/>
          <w:color w:val="auto"/>
          <w:sz w:val="24"/>
          <w:szCs w:val="24"/>
          <w:highlight w:val="none"/>
        </w:rPr>
        <w:t xml:space="preserve">：</w:t>
      </w:r>
      <w:bookmarkEnd w:id="63"/>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元/年。</w:t>
      </w:r>
      <w:r/>
    </w:p>
    <w:p>
      <w:pPr>
        <w:ind w:firstLine="47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合同总价包括乙方人员工资（含社保险、人员意外险）、劳护用品、船舶燃油费、船舶设施、日常维护保养、船舶险、管理费、税金以及其他费用等。合同期内，除因考核扣减费用外，合同金额不变，乙方应充分考虑成本变动因素，自负盈亏。</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结算及付款方式</w:t>
      </w:r>
      <w:r>
        <w:rPr>
          <w:rFonts w:hint="eastAsia" w:ascii="宋体" w:hAnsi="宋体" w:eastAsia="宋体" w:cs="宋体"/>
          <w:color w:val="auto"/>
          <w:sz w:val="24"/>
          <w:szCs w:val="24"/>
          <w:highlight w:val="none"/>
        </w:rPr>
        <w:t xml:space="preserve">：</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3.1签订合同后预付合同价20%；</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3.2合同价80%部分分4个季度考核支付。签订合同后分4个季度考核支付。根据考核结果，对应优良、合格、基本合格、不合格四个等次，在完成季度考核后十个工作日内，分别按以下比例支付本季度运营费用：</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3.2.1考核评分为900分及以上的为优良等次，按季度金额100%支付本季度运营费用；</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3.2.2考核评分为800分及以上～900分的为合格等次，按季度金额90%比例支付本季度运营费用；</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3.2.3考核评分为700分及以上～800 分的为基本合格等次，按季度金额80%比例支付本季度运营费用；</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3.2.4考核评分低于700分的为不合格等次，</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有权全额扣除本季度运营费，并解除合同，乙方承担违约责任。</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3.2.5甲方将以下表的方式对乙方进行相应的考核：</w:t>
      </w:r>
      <w:r/>
    </w:p>
    <w:p>
      <w:pPr>
        <w:ind w:firstLine="442"/>
        <w:jc w:val="center"/>
        <w:spacing w:line="46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通扬运河市区段管制专班考核表</w:t>
      </w:r>
      <w:r/>
    </w:p>
    <w:tbl>
      <w:tblPr>
        <w:tblStyle w:val="836"/>
        <w:tblW w:w="53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857"/>
        <w:gridCol w:w="4252"/>
        <w:gridCol w:w="2034"/>
        <w:gridCol w:w="682"/>
        <w:gridCol w:w="696"/>
        <w:gridCol w:w="458"/>
        <w:gridCol w:w="735"/>
        <w:gridCol w:w="358"/>
      </w:tblGrid>
      <w:tr>
        <w:trPr>
          <w:jc w:val="cente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320" w:lineRule="exact"/>
              <w:widowControl/>
              <w:rPr>
                <w:rFonts w:hint="eastAsia" w:ascii="宋体" w:hAnsi="宋体" w:eastAsia="宋体" w:cs="宋体"/>
                <w:color w:val="auto"/>
                <w:sz w:val="21"/>
                <w:szCs w:val="20"/>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考核 项目</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具体内容</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分值</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w:t>
            </w:r>
            <w:r/>
          </w:p>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部门</w:t>
            </w:r>
            <w:r/>
          </w:p>
        </w:tc>
        <w:tc>
          <w:tcPr>
            <w:tcBorders>
              <w:top w:val="single" w:color="auto" w:sz="4" w:space="0"/>
              <w:left w:val="single" w:color="auto" w:sz="4" w:space="0"/>
              <w:bottom w:val="single" w:color="auto" w:sz="4" w:space="0"/>
              <w:right w:val="single" w:color="auto" w:sz="4" w:space="0"/>
            </w:tcBorders>
            <w:tcW w:w="215"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考核分</w:t>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内务管理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1.保持船舶良好的卫生状况。环境卫生较差的，发现一次扣1分；</w:t>
            </w:r>
            <w:r/>
          </w:p>
          <w:p>
            <w:pPr>
              <w:jc w:val="left"/>
              <w:spacing w:line="2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 保持办公场所清洁卫生，物品摆放有序，违反规定的，一次扣1分。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二大队</w:t>
            </w:r>
            <w:r/>
          </w:p>
        </w:tc>
        <w:tc>
          <w:tcPr>
            <w:tcBorders>
              <w:top w:val="single" w:color="auto" w:sz="4" w:space="0"/>
              <w:left w:val="single" w:color="auto" w:sz="4" w:space="0"/>
              <w:bottom w:val="single" w:color="auto" w:sz="4" w:space="0"/>
              <w:right w:val="single" w:color="auto" w:sz="4" w:space="0"/>
            </w:tcBorders>
            <w:tcW w:w="215"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1.船舶有专人负责管理，船上其他人员职责明确。职责不清的，一次扣2分；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管制人员工作期间不得擅自离岗</w:t>
            </w:r>
            <w:r>
              <w:rPr>
                <w:rFonts w:hint="eastAsia" w:ascii="宋体" w:hAnsi="宋体" w:eastAsia="宋体" w:cs="宋体"/>
                <w:color w:val="auto"/>
                <w:sz w:val="21"/>
                <w:szCs w:val="21"/>
                <w:highlight w:val="none"/>
              </w:rPr>
              <w:t xml:space="preserve">，发现一次扣2分；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未通过系统逐条核查过往船舶的，发现一次</w:t>
            </w:r>
            <w:r>
              <w:rPr>
                <w:rFonts w:hint="eastAsia" w:ascii="宋体" w:hAnsi="宋体" w:eastAsia="宋体" w:cs="宋体"/>
                <w:color w:val="auto"/>
                <w:sz w:val="21"/>
                <w:szCs w:val="21"/>
                <w:highlight w:val="none"/>
              </w:rPr>
              <w:t xml:space="preserve">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未留有人员值守VHF的，发现一次</w:t>
            </w:r>
            <w:r>
              <w:rPr>
                <w:rFonts w:hint="eastAsia" w:ascii="宋体" w:hAnsi="宋体" w:eastAsia="宋体" w:cs="宋体"/>
                <w:color w:val="auto"/>
                <w:sz w:val="21"/>
                <w:szCs w:val="21"/>
                <w:highlight w:val="none"/>
              </w:rPr>
              <w:t xml:space="preserve">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5.管制期间饮酒</w:t>
            </w:r>
            <w:r>
              <w:rPr>
                <w:rFonts w:hint="eastAsia" w:ascii="宋体" w:hAnsi="宋体" w:eastAsia="宋体" w:cs="宋体"/>
                <w:color w:val="auto"/>
                <w:sz w:val="21"/>
                <w:szCs w:val="21"/>
                <w:highlight w:val="none"/>
              </w:rPr>
              <w:t xml:space="preserve">的，发现一次扣2分；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6.舱外工作人员未按照规定穿救生衣，发现一次扣2分；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7.管制人员未保持端庄得体，未使用文明用语的，发现一次扣2分。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0"/>
                <w:highlight w:val="none"/>
              </w:rPr>
            </w:pPr>
            <w:r>
              <w:rPr>
                <w:rFonts w:hint="eastAsia" w:ascii="宋体" w:hAnsi="宋体" w:eastAsia="宋体" w:cs="宋体"/>
                <w:color w:val="auto"/>
                <w:sz w:val="21"/>
                <w:szCs w:val="21"/>
                <w:highlight w:val="none"/>
              </w:rPr>
              <w:t xml:space="preserve">100 </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二</w:t>
            </w:r>
            <w:r>
              <w:rPr>
                <w:rFonts w:hint="eastAsia" w:ascii="宋体" w:hAnsi="宋体" w:eastAsia="宋体" w:cs="宋体"/>
                <w:color w:val="auto"/>
                <w:sz w:val="21"/>
                <w:szCs w:val="21"/>
                <w:highlight w:val="none"/>
              </w:rPr>
              <w:t xml:space="preserve">大队</w:t>
            </w:r>
            <w:r/>
          </w:p>
        </w:tc>
        <w:tc>
          <w:tcPr>
            <w:tcBorders>
              <w:top w:val="single" w:color="auto" w:sz="4" w:space="0"/>
              <w:left w:val="single" w:color="auto" w:sz="4" w:space="0"/>
              <w:bottom w:val="single" w:color="auto" w:sz="4" w:space="0"/>
              <w:right w:val="single" w:color="auto" w:sz="4" w:space="0"/>
            </w:tcBorders>
            <w:tcW w:w="215"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left"/>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cantSplit/>
          <w:jc w:val="center"/>
          <w:trHeight w:val="2258"/>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现场管理</w:t>
            </w:r>
            <w:r/>
          </w:p>
        </w:tc>
        <w:tc>
          <w:tcPr>
            <w:gridSpan w:val="2"/>
            <w:tcBorders>
              <w:top w:val="single" w:color="auto" w:sz="4" w:space="0"/>
              <w:left w:val="single" w:color="auto" w:sz="4" w:space="0"/>
              <w:right w:val="single" w:color="auto" w:sz="4" w:space="0"/>
            </w:tcBorders>
            <w:tcW w:w="2963" w:type="pct"/>
            <w:vAlign w:val="center"/>
            <w:textDirection w:val="lrTb"/>
            <w:noWrap w:val="false"/>
          </w:tcPr>
          <w:p>
            <w:pPr>
              <w:pStyle w:val="883"/>
              <w:numPr>
                <w:ilvl w:val="0"/>
                <w:numId w:val="0"/>
              </w:numPr>
              <w:ind w:left="360" w:hanging="360"/>
              <w:jc w:val="left"/>
              <w:spacing w:line="300" w:lineRule="exac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未按规定登记台账的，</w:t>
            </w:r>
            <w:r>
              <w:rPr>
                <w:rFonts w:hint="eastAsia" w:ascii="宋体" w:hAnsi="宋体" w:eastAsia="宋体" w:cs="宋体"/>
                <w:color w:val="auto"/>
                <w:sz w:val="21"/>
                <w:szCs w:val="21"/>
                <w:highlight w:val="none"/>
              </w:rPr>
              <w:t xml:space="preserve">发现一次</w:t>
            </w:r>
            <w:r>
              <w:rPr>
                <w:rFonts w:hint="eastAsia" w:ascii="宋体" w:hAnsi="宋体" w:eastAsia="宋体" w:cs="宋体"/>
                <w:color w:val="auto"/>
                <w:sz w:val="21"/>
                <w:szCs w:val="21"/>
                <w:highlight w:val="none"/>
              </w:rPr>
              <w:t xml:space="preserve">扣2分；</w:t>
            </w:r>
            <w:r/>
          </w:p>
          <w:p>
            <w:pPr>
              <w:pStyle w:val="883"/>
              <w:numPr>
                <w:ilvl w:val="0"/>
                <w:numId w:val="0"/>
              </w:numPr>
              <w:ind w:left="360" w:hanging="360"/>
              <w:jc w:val="left"/>
              <w:spacing w:line="300" w:lineRule="exac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台账登记不规范，字迹不清的，发现一次扣1分；</w:t>
            </w:r>
            <w:r/>
          </w:p>
          <w:p>
            <w:pPr>
              <w:pStyle w:val="883"/>
              <w:numPr>
                <w:ilvl w:val="0"/>
                <w:numId w:val="0"/>
              </w:numPr>
              <w:ind w:left="360" w:hanging="360"/>
              <w:jc w:val="left"/>
              <w:spacing w:line="300" w:lineRule="exac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对疑似超过管制水域通航标准的船舶，管制人员未进行现场核对的，发现一次</w:t>
            </w:r>
            <w:r>
              <w:rPr>
                <w:rFonts w:hint="eastAsia" w:ascii="宋体" w:hAnsi="宋体" w:eastAsia="宋体" w:cs="宋体"/>
                <w:color w:val="auto"/>
                <w:sz w:val="21"/>
                <w:szCs w:val="21"/>
                <w:highlight w:val="none"/>
              </w:rPr>
              <w:t xml:space="preserve">扣5分</w:t>
            </w:r>
            <w:r>
              <w:rPr>
                <w:rFonts w:hint="eastAsia" w:ascii="宋体" w:hAnsi="宋体" w:eastAsia="宋体" w:cs="宋体"/>
                <w:color w:val="auto"/>
                <w:sz w:val="21"/>
                <w:szCs w:val="21"/>
                <w:highlight w:val="none"/>
              </w:rPr>
              <w:t xml:space="preserve">；</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对于不服从管理的船舶</w:t>
            </w:r>
            <w:r>
              <w:rPr>
                <w:rFonts w:hint="eastAsia" w:ascii="宋体" w:hAnsi="宋体" w:eastAsia="宋体" w:cs="宋体"/>
                <w:color w:val="auto"/>
                <w:sz w:val="21"/>
                <w:szCs w:val="21"/>
                <w:highlight w:val="none"/>
              </w:rPr>
              <w:t xml:space="preserve">，未及时通知交通执法机构的，发现一次扣5分；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Cs/>
                <w:color w:val="auto"/>
                <w:sz w:val="21"/>
                <w:szCs w:val="21"/>
                <w:highlight w:val="none"/>
              </w:rPr>
              <w:t xml:space="preserve">放行</w:t>
            </w:r>
            <w:r>
              <w:rPr>
                <w:rFonts w:hint="eastAsia" w:ascii="宋体" w:hAnsi="宋体" w:eastAsia="宋体" w:cs="宋体"/>
                <w:color w:val="auto"/>
                <w:sz w:val="21"/>
                <w:szCs w:val="21"/>
                <w:highlight w:val="none"/>
              </w:rPr>
              <w:t xml:space="preserve">危险货物运输船舶、轮队的，发现一次</w:t>
            </w:r>
            <w:r>
              <w:rPr>
                <w:rFonts w:hint="eastAsia" w:ascii="宋体" w:hAnsi="宋体" w:eastAsia="宋体" w:cs="宋体"/>
                <w:color w:val="auto"/>
                <w:sz w:val="21"/>
                <w:szCs w:val="21"/>
                <w:highlight w:val="none"/>
              </w:rPr>
              <w:t xml:space="preserve">扣10分；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Cs/>
                <w:color w:val="auto"/>
                <w:sz w:val="21"/>
                <w:szCs w:val="21"/>
                <w:highlight w:val="none"/>
              </w:rPr>
              <w:t xml:space="preserve">放行超过通航标准的船舶的，</w:t>
            </w:r>
            <w:r>
              <w:rPr>
                <w:rFonts w:hint="eastAsia" w:ascii="宋体" w:hAnsi="宋体" w:eastAsia="宋体" w:cs="宋体"/>
                <w:color w:val="auto"/>
                <w:sz w:val="21"/>
                <w:szCs w:val="21"/>
                <w:highlight w:val="none"/>
              </w:rPr>
              <w:t xml:space="preserve">一次扣5分；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7.水位低于2.2米、高于2.6米时，未停止放行的，发现一次</w:t>
            </w:r>
            <w:r>
              <w:rPr>
                <w:rFonts w:hint="eastAsia" w:ascii="宋体" w:hAnsi="宋体" w:eastAsia="宋体" w:cs="宋体"/>
                <w:color w:val="auto"/>
                <w:sz w:val="21"/>
                <w:szCs w:val="21"/>
                <w:highlight w:val="none"/>
              </w:rPr>
              <w:t xml:space="preserve">扣5分；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8.在交通管制期间，发生水上交通险情时，未第一时间上报交通执法机构的，发现一次</w:t>
            </w:r>
            <w:r>
              <w:rPr>
                <w:rFonts w:hint="eastAsia" w:ascii="宋体" w:hAnsi="宋体" w:eastAsia="宋体" w:cs="宋体"/>
                <w:color w:val="auto"/>
                <w:sz w:val="21"/>
                <w:szCs w:val="21"/>
                <w:highlight w:val="none"/>
              </w:rPr>
              <w:t xml:space="preserve">扣5分；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9.管制人员未对放行时间段的船舶进行核对，发现一次扣5分；</w:t>
            </w:r>
            <w:r/>
          </w:p>
          <w:p>
            <w:pPr>
              <w:jc w:val="left"/>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10.未通过视频监控查看航道是否清空，发现一次扣5分。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tcBorders>
              <w:top w:val="single" w:color="auto" w:sz="4" w:space="0"/>
              <w:left w:val="single" w:color="auto" w:sz="4" w:space="0"/>
              <w:right w:val="single" w:color="auto" w:sz="4" w:space="0"/>
            </w:tcBorders>
            <w:tcW w:w="32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二大队</w:t>
            </w:r>
            <w:r/>
          </w:p>
          <w:p>
            <w:pPr>
              <w:jc w:val="cente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15"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left"/>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jc w:val="center"/>
          <w:trHeight w:val="590"/>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社会责任</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pStyle w:val="883"/>
              <w:ind w:left="0" w:firstLine="0"/>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有投诉举报被查实的，发现一次</w:t>
            </w:r>
            <w:r>
              <w:rPr>
                <w:rFonts w:hint="eastAsia" w:ascii="宋体" w:hAnsi="宋体" w:eastAsia="宋体" w:cs="宋体"/>
                <w:color w:val="auto"/>
                <w:sz w:val="21"/>
                <w:szCs w:val="21"/>
                <w:highlight w:val="none"/>
              </w:rPr>
              <w:t xml:space="preserve">扣5分；</w:t>
            </w:r>
            <w:r/>
          </w:p>
          <w:p>
            <w:pPr>
              <w:pStyle w:val="883"/>
              <w:ind w:left="0" w:firstLine="0"/>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2.未严格履行工作职责，造成水上交通事故或社会影响的，该项不得分；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管制人员发生吃拿卡要行为，发现一次</w:t>
            </w:r>
            <w:r>
              <w:rPr>
                <w:rFonts w:hint="eastAsia" w:ascii="宋体" w:hAnsi="宋体" w:eastAsia="宋体" w:cs="宋体"/>
                <w:color w:val="auto"/>
                <w:sz w:val="21"/>
                <w:szCs w:val="21"/>
                <w:highlight w:val="none"/>
              </w:rPr>
              <w:t xml:space="preserve">扣5分；</w:t>
            </w:r>
            <w:r/>
          </w:p>
          <w:p>
            <w:pPr>
              <w:jc w:val="left"/>
              <w:spacing w:line="2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4.因第三方责任造成重大责任事故的，该项不得分。</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二大队</w:t>
            </w:r>
            <w:r/>
          </w:p>
        </w:tc>
        <w:tc>
          <w:tcPr>
            <w:tcBorders>
              <w:top w:val="single" w:color="auto" w:sz="4" w:space="0"/>
              <w:left w:val="single" w:color="auto" w:sz="4" w:space="0"/>
              <w:bottom w:val="single" w:color="auto" w:sz="4" w:space="0"/>
              <w:right w:val="single" w:color="auto" w:sz="4" w:space="0"/>
            </w:tcBorders>
            <w:tcW w:w="215"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 </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left"/>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其他</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合计得分</w:t>
            </w:r>
            <w:r/>
          </w:p>
        </w:tc>
        <w:tc>
          <w:tcPr>
            <w:gridSpan w:val="2"/>
            <w:tcBorders>
              <w:top w:val="single" w:color="auto" w:sz="4" w:space="0"/>
              <w:left w:val="single" w:color="auto" w:sz="4" w:space="0"/>
              <w:bottom w:val="single" w:color="auto" w:sz="4" w:space="0"/>
              <w:right w:val="single" w:color="auto" w:sz="4" w:space="0"/>
            </w:tcBorders>
            <w:tcW w:w="2963" w:type="pct"/>
            <w:vAlign w:val="center"/>
            <w:textDirection w:val="lrTb"/>
            <w:noWrap w:val="false"/>
          </w:tcPr>
          <w:p>
            <w:pPr>
              <w:jc w:val="left"/>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备注：每一项内容分数扣完为止。</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 </w:t>
            </w:r>
            <w:r/>
          </w:p>
        </w:tc>
        <w:tc>
          <w:tcPr>
            <w:gridSpan w:val="2"/>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320" w:lineRule="exact"/>
              <w:widowControl/>
              <w:rPr>
                <w:rFonts w:hint="eastAsia" w:ascii="宋体" w:hAnsi="宋体" w:eastAsia="宋体" w:cs="宋体"/>
                <w:color w:val="auto"/>
                <w:spacing w:val="-20"/>
                <w:sz w:val="21"/>
                <w:szCs w:val="21"/>
                <w:highlight w:val="none"/>
                <w:lang w:val="zh-CN"/>
              </w:rPr>
            </w:pPr>
            <w:r>
              <w:rPr>
                <w:rFonts w:hint="eastAsia" w:ascii="宋体" w:hAnsi="宋体" w:eastAsia="宋体" w:cs="宋体"/>
                <w:color w:val="auto"/>
                <w:spacing w:val="-20"/>
                <w:sz w:val="21"/>
                <w:szCs w:val="21"/>
                <w:highlight w:val="none"/>
                <w:lang w:val="zh-CN"/>
              </w:rPr>
              <w:t xml:space="preserve">考核组成员签名</w:t>
            </w:r>
            <w:r/>
          </w:p>
        </w:tc>
        <w:tc>
          <w:tcPr>
            <w:gridSpan w:val="7"/>
            <w:tcBorders>
              <w:top w:val="single" w:color="auto" w:sz="4" w:space="0"/>
              <w:left w:val="single" w:color="auto" w:sz="4" w:space="0"/>
              <w:bottom w:val="single" w:color="auto" w:sz="4" w:space="0"/>
              <w:right w:val="single" w:color="auto" w:sz="4" w:space="0"/>
            </w:tcBorders>
            <w:tcW w:w="4343"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jc w:val="center"/>
          <w:trHeight w:val="590"/>
        </w:trPr>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320" w:lineRule="exact"/>
              <w:widowControl/>
              <w:rPr>
                <w:rFonts w:hint="eastAsia" w:ascii="宋体" w:hAnsi="宋体" w:eastAsia="宋体" w:cs="宋体"/>
                <w:color w:val="auto"/>
                <w:spacing w:val="-20"/>
                <w:sz w:val="21"/>
                <w:szCs w:val="21"/>
                <w:highlight w:val="none"/>
                <w:lang w:val="zh-CN"/>
              </w:rPr>
            </w:pPr>
            <w:r>
              <w:rPr>
                <w:rFonts w:hint="eastAsia" w:ascii="宋体" w:hAnsi="宋体" w:eastAsia="宋体" w:cs="宋体"/>
                <w:color w:val="auto"/>
                <w:spacing w:val="-20"/>
                <w:sz w:val="21"/>
                <w:szCs w:val="21"/>
                <w:highlight w:val="none"/>
                <w:lang w:val="zh-CN"/>
              </w:rPr>
              <w:t xml:space="preserve">考核组组长签名</w:t>
            </w:r>
            <w:r/>
          </w:p>
        </w:tc>
        <w:tc>
          <w:tcPr>
            <w:tcBorders>
              <w:top w:val="single" w:color="auto" w:sz="4" w:space="0"/>
              <w:left w:val="single" w:color="auto" w:sz="4" w:space="0"/>
              <w:bottom w:val="single" w:color="auto" w:sz="4" w:space="0"/>
              <w:right w:val="single" w:color="auto" w:sz="4" w:space="0"/>
            </w:tcBorders>
            <w:tcW w:w="2004" w:type="pct"/>
            <w:vAlign w:val="center"/>
            <w:textDirection w:val="lrTb"/>
            <w:noWrap w:val="false"/>
          </w:tcPr>
          <w:p>
            <w:pPr>
              <w:jc w:val="left"/>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考核时间</w:t>
            </w:r>
            <w:r/>
          </w:p>
        </w:tc>
        <w:tc>
          <w:tcPr>
            <w:gridSpan w:val="5"/>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center"/>
              <w:spacing w:line="40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bl>
    <w:p>
      <w:pPr>
        <w:ind w:firstLine="480"/>
        <w:spacing w:line="480" w:lineRule="exact"/>
        <w:tabs>
          <w:tab w:val="left" w:pos="360" w:leader="none"/>
        </w:tabs>
        <w:rPr>
          <w:rFonts w:hint="eastAsia" w:ascii="宋体" w:hAnsi="宋体" w:eastAsia="宋体" w:cs="宋体"/>
          <w:color w:val="auto"/>
          <w:sz w:val="24"/>
          <w:szCs w:val="24"/>
          <w:highlight w:val="none"/>
        </w:rPr>
      </w:pPr>
      <w:r/>
      <w:bookmarkStart w:id="64" w:name="_Toc81879416"/>
      <w:r>
        <w:rPr>
          <w:rFonts w:hint="eastAsia" w:ascii="宋体" w:hAnsi="宋体" w:eastAsia="宋体" w:cs="宋体"/>
          <w:color w:val="auto"/>
          <w:sz w:val="24"/>
          <w:szCs w:val="24"/>
          <w:highlight w:val="none"/>
        </w:rPr>
        <w:t xml:space="preserve">4.服务内容及要求</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4.1服务时间：12个月，以签订合同日起算。自</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4.2工作时间：每天24小时进行管制；</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4.3管制水域：通扬运河市区段设置两个水上交通管制点，分别位于通吕运河五岔河口和九圩港河十八里河口；</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4.4人员要求：每班不少于三名人员，身体健康，会游泳（其中一名为持证船舶驾驶人员，一名为电脑操作人员）。具体人员名单如下：</w:t>
      </w:r>
      <w:r/>
    </w:p>
    <w:p>
      <w:pPr>
        <w:ind w:firstLine="480"/>
        <w:spacing w:line="480" w:lineRule="exact"/>
        <w:tabs>
          <w:tab w:val="left" w:pos="360" w:leader="none"/>
        </w:tabs>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4.5其他需求：</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需具备相应的涉水作业资质，参与协助管制人员在本单位缴纳社保，并配备船艇两艘用于本项目现场服务，中标后合同签订前需提供相关证明材料原件供</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核查，不能提供的，</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有权拒签合同。</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4.6第三方管制要求及人员工作职责：</w:t>
      </w:r>
      <w:r/>
    </w:p>
    <w:p>
      <w:pPr>
        <w:ind w:firstLine="480"/>
        <w:spacing w:line="480" w:lineRule="exact"/>
        <w:tabs>
          <w:tab w:val="left" w:pos="360" w:leader="none"/>
        </w:tabs>
        <w:rPr>
          <w:rFonts w:hint="eastAsia" w:ascii="宋体" w:hAnsi="宋体" w:eastAsia="宋体" w:cs="宋体"/>
          <w:color w:val="auto"/>
          <w:sz w:val="24"/>
          <w:szCs w:val="24"/>
          <w:highlight w:val="none"/>
        </w:rPr>
      </w:pPr>
      <w:r/>
      <w:bookmarkStart w:id="65" w:name="_Hlk117157200"/>
      <w:r>
        <w:rPr>
          <w:rFonts w:hint="eastAsia" w:ascii="宋体" w:hAnsi="宋体" w:eastAsia="宋体" w:cs="宋体"/>
          <w:color w:val="auto"/>
          <w:sz w:val="24"/>
          <w:szCs w:val="24"/>
          <w:highlight w:val="none"/>
        </w:rPr>
        <w:t xml:space="preserve">4.6.1</w:t>
      </w:r>
      <w:bookmarkEnd w:id="65"/>
      <w:r>
        <w:rPr>
          <w:rFonts w:hint="eastAsia" w:ascii="宋体" w:hAnsi="宋体" w:eastAsia="宋体" w:cs="宋体"/>
          <w:color w:val="auto"/>
          <w:sz w:val="24"/>
          <w:szCs w:val="24"/>
          <w:highlight w:val="none"/>
        </w:rPr>
        <w:t xml:space="preserve">通扬运河市区段实行单向航行；</w:t>
      </w:r>
      <w:r/>
    </w:p>
    <w:p>
      <w:pPr>
        <w:pStyle w:val="8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4.6.2管制时间安排</w:t>
      </w:r>
      <w:r/>
    </w:p>
    <w:p>
      <w:pPr>
        <w:ind w:firstLine="48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通行时间明细表</w:t>
      </w:r>
      <w:r/>
    </w:p>
    <w:tbl>
      <w:tblPr>
        <w:tblStyle w:val="836"/>
        <w:tblW w:w="7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1"/>
        <w:gridCol w:w="1425"/>
        <w:gridCol w:w="1592"/>
        <w:gridCol w:w="1625"/>
      </w:tblGrid>
      <w:tr>
        <w:trPr>
          <w:jc w:val="center"/>
          <w:trHeight w:val="424"/>
        </w:trPr>
        <w:tc>
          <w:tcPr>
            <w:tcW w:w="2561" w:type="dxa"/>
            <w:vAlign w:val="top"/>
            <w:textDirection w:val="lrTb"/>
            <w:noWrap w:val="false"/>
          </w:tcPr>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通行线路</w:t>
            </w:r>
            <w:r/>
          </w:p>
        </w:tc>
        <w:tc>
          <w:tcPr>
            <w:tcW w:w="1425" w:type="dxa"/>
            <w:vAlign w:val="top"/>
            <w:textDirection w:val="lrTb"/>
            <w:noWrap w:val="false"/>
          </w:tcPr>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c>
          <w:tcPr>
            <w:tcW w:w="1592" w:type="dxa"/>
            <w:vAlign w:val="top"/>
            <w:textDirection w:val="lrTb"/>
            <w:noWrap w:val="false"/>
          </w:tcPr>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c>
          <w:tcPr>
            <w:tcW w:w="1625" w:type="dxa"/>
            <w:vAlign w:val="top"/>
            <w:textDirection w:val="lrTb"/>
            <w:noWrap w:val="false"/>
          </w:tcPr>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r>
      <w:tr>
        <w:trPr>
          <w:jc w:val="center"/>
          <w:trHeight w:val="646"/>
        </w:trPr>
        <w:tc>
          <w:tcPr>
            <w:tcW w:w="2561"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通吕运河-九圩港船闸</w:t>
            </w:r>
            <w:r/>
          </w:p>
        </w:tc>
        <w:tc>
          <w:tcPr>
            <w:tcW w:w="1425"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0:00-3:00</w:t>
            </w:r>
            <w:r/>
          </w:p>
        </w:tc>
        <w:tc>
          <w:tcPr>
            <w:tcW w:w="1592"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8:00-11:00</w:t>
            </w:r>
            <w:r/>
          </w:p>
        </w:tc>
        <w:tc>
          <w:tcPr>
            <w:tcW w:w="1625"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16:00-19:00</w:t>
            </w:r>
            <w:r/>
          </w:p>
        </w:tc>
      </w:tr>
      <w:tr>
        <w:trPr>
          <w:jc w:val="center"/>
          <w:trHeight w:val="646"/>
        </w:trPr>
        <w:tc>
          <w:tcPr>
            <w:tcW w:w="2561"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九圩港船闸-通吕运河</w:t>
            </w:r>
            <w:r/>
          </w:p>
        </w:tc>
        <w:tc>
          <w:tcPr>
            <w:tcW w:w="1425"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4:00-7：00</w:t>
            </w:r>
            <w:r/>
          </w:p>
        </w:tc>
        <w:tc>
          <w:tcPr>
            <w:tcW w:w="1592"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12:00-15:00</w:t>
            </w:r>
            <w:r/>
          </w:p>
        </w:tc>
        <w:tc>
          <w:tcPr>
            <w:tcW w:w="1625" w:type="dxa"/>
            <w:vAlign w:val="center"/>
            <w:textDirection w:val="lrTb"/>
            <w:noWrap w:val="false"/>
          </w:tcPr>
          <w:p>
            <w:pPr>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20:00-23:00</w:t>
            </w:r>
            <w:r/>
          </w:p>
        </w:tc>
      </w:tr>
    </w:tbl>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备注：原则上按照通行时间表执行，特殊情况根据需求及时调整。</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4.6.3管制标准</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船舶吃水超过3.4米、净空高度超过4.5米任一标准的船舶禁止进入通扬运河市区段；</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禁止危险货物运输船舶、轮队、槽罐船进入通扬运河市区段；</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水位低于2.2米、高于2.6米时，停止放行；</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4.6.4第三方管制人员工作要求</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管制人员工作期间不得擅自离岗，两管制点必须留有人员值守VHF，原则上不登船检查；</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接船员申报后，管制人员进行台账登记（船名船号、船舶总吨、实际净高、实际吃水、型深、航向、载货情况、国籍证书等）如实记录申报内容、核查结果；</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对疑似超过管制水域通航标准的船舶，管制人员进行现场核对，对满足通航要求的船舶，予以放行，对不符合要求的船舶禁止进入，并做好台帐记录，以便备查。具体参考图片1、2；</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管制期间发现不服从管理的船舶应立即制止，同时报告辖区交通执法机构；</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在交通管制期间，发生水上交通险情时，第一时间上报辖区中队，并协助做好临时管制措施；</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参加管制的所有工作人员不得发生吃拿卡的行为，一经发现，予以辞退；</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管制期间严禁饮酒，舱外工作人员必须按照规定穿救生衣，谨慎操作，防止意外事件的发生；</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管制人员应对放行时间段的船舶进行核对，并通过视频监控查看航道是否清空，及时通报对方管制点；</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管制人员需做好内务卫生，确保办公环境干净整洁；</w:t>
      </w:r>
      <w:r/>
    </w:p>
    <w:p>
      <w:pPr>
        <w:pStyle w:val="8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完成支队布置的其他相关管制任务。</w:t>
      </w:r>
      <w:bookmarkEnd w:id="64"/>
      <w:r/>
      <w:r/>
    </w:p>
    <w:p>
      <w:pPr>
        <w:jc w:val="center"/>
        <w:spacing w:line="460" w:lineRule="exact"/>
        <w:rPr>
          <w:rFonts w:hint="eastAsia" w:ascii="宋体" w:hAnsi="宋体" w:eastAsia="宋体" w:cs="宋体"/>
          <w:b/>
          <w:bCs/>
          <w:color w:val="auto"/>
          <w:sz w:val="28"/>
          <w:szCs w:val="28"/>
          <w:highlight w:val="none"/>
        </w:rPr>
      </w:pPr>
      <w:r/>
      <w:bookmarkStart w:id="66" w:name="_Toc81879418"/>
      <w:r>
        <w:rPr>
          <w:rFonts w:hint="eastAsia" w:ascii="宋体" w:hAnsi="宋体" w:eastAsia="宋体" w:cs="宋体"/>
          <w:b/>
          <w:bCs/>
          <w:color w:val="auto"/>
          <w:sz w:val="28"/>
          <w:szCs w:val="28"/>
          <w:highlight w:val="none"/>
        </w:rPr>
        <w:t xml:space="preserve">图片1：通扬运河市区段水上交通管制流程图</w:t>
      </w:r>
      <w:r/>
    </w:p>
    <w:p>
      <w:pPr>
        <w:pStyle w:val="8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2"/>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1351915</wp:posOffset>
                </wp:positionH>
                <wp:positionV relativeFrom="paragraph">
                  <wp:posOffset>171450</wp:posOffset>
                </wp:positionV>
                <wp:extent cx="3178810" cy="3750945"/>
                <wp:effectExtent l="0" t="0" r="44450" b="55244"/>
                <wp:wrapTight wrapText="bothSides">
                  <wp:wrapPolygon edited="1">
                    <wp:start x="0" y="0"/>
                    <wp:lineTo x="0" y="21326"/>
                    <wp:lineTo x="21320" y="21326"/>
                    <wp:lineTo x="21320" y="0"/>
                    <wp:lineTo x="0" y="0"/>
                  </wp:wrapPolygon>
                </wp:wrapTight>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8"/>
                        <a:stretch/>
                      </pic:blipFill>
                      <pic:spPr bwMode="auto">
                        <a:xfrm>
                          <a:off x="0" y="0"/>
                          <a:ext cx="3178810" cy="3750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06.4pt;mso-position-horizontal:absolute;mso-position-vertical-relative:text;margin-top:13.5pt;mso-position-vertical:absolute;width:250.3pt;height:295.3pt;mso-wrap-distance-left:9.0pt;mso-wrap-distance-top:0.0pt;mso-wrap-distance-right:9.0pt;mso-wrap-distance-bottom:0.0pt;" wrapcoords="0 0 0 98731 98704 98731 98704 0 0 0" stroked="f">
                <v:path textboxrect="0,0,0,0"/>
                <w10:wrap type="tight"/>
                <v:imagedata r:id="rId18" o:title=""/>
              </v:shape>
            </w:pict>
          </mc:Fallback>
        </mc:AlternateContent>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图片2：通扬运河市区段管制船舶登记台账</w:t>
      </w:r>
      <w:r/>
    </w:p>
    <w:p>
      <w:pPr>
        <w:ind w:firstLine="562"/>
        <w:spacing w:line="480" w:lineRule="exact"/>
        <w:tabs>
          <w:tab w:val="left" w:pos="360" w:leader="none"/>
          <w:tab w:val="left" w:pos="540"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20"/>
        <w:spacing w:line="480" w:lineRule="exact"/>
        <w:tabs>
          <w:tab w:val="left" w:pos="360" w:leader="none"/>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436880</wp:posOffset>
                </wp:positionH>
                <wp:positionV relativeFrom="page">
                  <wp:posOffset>1704975</wp:posOffset>
                </wp:positionV>
                <wp:extent cx="5198745" cy="2835275"/>
                <wp:effectExtent l="0" t="0" r="13335" b="10795"/>
                <wp:wrapTopAndBottom/>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9"/>
                        <a:stretch/>
                      </pic:blipFill>
                      <pic:spPr bwMode="auto">
                        <a:xfrm>
                          <a:off x="0" y="0"/>
                          <a:ext cx="5198745" cy="2835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4.4pt;mso-position-horizontal:absolute;mso-position-vertical-relative:page;margin-top:134.2pt;mso-position-vertical:absolute;width:409.3pt;height:223.2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eastAsia="宋体" w:cs="宋体"/>
          <w:b/>
          <w:bCs/>
          <w:color w:val="auto"/>
          <w:sz w:val="24"/>
          <w:szCs w:val="24"/>
          <w:highlight w:val="none"/>
        </w:rPr>
        <w:t xml:space="preserve">6.违约责任：</w:t>
      </w:r>
      <w:bookmarkEnd w:id="66"/>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6.1乙方未能按期提供服务，则按每天向甲方支付合同总额0.2%的标准支付违约金。</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6.2甲方无正当理由逾期付款的，则每日按应结算服务费总额2‰向乙方偿付违约金。</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6.3因乙方原因不能提供服务，甲方有权通过向其他服务商购买服务满足执法需求，由此产生的费用全部由乙方支付。</w:t>
      </w:r>
      <w:bookmarkStart w:id="67" w:name="_Toc81879419"/>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6.4由于乙方的原因，导致双方签订的合同终止，乙方因此而遭受的损失，将由乙方独立承担，甲方对此不负任何责任，也不作任何赔偿。</w:t>
      </w:r>
      <w:r/>
    </w:p>
    <w:p>
      <w:pPr>
        <w:numPr>
          <w:ilvl w:val="1"/>
          <w:numId w:val="0"/>
        </w:numPr>
        <w:ind w:firstLine="482"/>
        <w:spacing w:line="480" w:lineRule="exact"/>
        <w:tabs>
          <w:tab w:val="left" w:pos="360" w:leader="none"/>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7.不可抗力：</w:t>
      </w:r>
      <w:bookmarkEnd w:id="67"/>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7.1由于不可抗力因素（指火灾、地震、洪水、战争等）使乙方不能在合同规定的期限内交货时，乙方必须立即以书面形式通知甲方，并以书面形式向甲方提供有关政府机关所出具的不可抗力因素证明。</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68" w:name="_Toc81879420"/>
      <w:r/>
      <w:r/>
    </w:p>
    <w:p>
      <w:pPr>
        <w:numPr>
          <w:ilvl w:val="0"/>
          <w:numId w:val="0"/>
        </w:numPr>
        <w:ind w:firstLine="482"/>
        <w:spacing w:line="480" w:lineRule="exact"/>
        <w:tabs>
          <w:tab w:val="left" w:pos="360" w:leader="none"/>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rPr>
        <w:t xml:space="preserve">其他约定条款：</w:t>
      </w:r>
      <w:bookmarkEnd w:id="68"/>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8.1严禁转包，未经甲方书面同意不得分包。 </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8.2乙方服务人员进行服务期间的过失或故意行为，造成甲方经济损失的，由乙方负责赔偿。 </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8.3乙方服务人员的劳动关系隶属乙方，乙方负责服务人员的工资、节假日和超时加班补助费、社会保险、住宿、伙食等。乙方需为上岗人员购买人身意外伤害保险。</w:t>
      </w:r>
      <w:r/>
    </w:p>
    <w:p>
      <w:pPr>
        <w:ind w:firstLine="470"/>
        <w:spacing w:line="480" w:lineRule="exact"/>
        <w:rPr>
          <w:rFonts w:hint="eastAsia" w:ascii="宋体" w:hAnsi="宋体" w:eastAsia="宋体" w:cs="宋体"/>
          <w:color w:val="auto"/>
          <w:sz w:val="24"/>
          <w:szCs w:val="24"/>
          <w:highlight w:val="none"/>
        </w:rPr>
      </w:pPr>
      <w:r/>
      <w:bookmarkStart w:id="69" w:name="_Toc81879421"/>
      <w:r>
        <w:rPr>
          <w:rFonts w:hint="eastAsia" w:ascii="宋体" w:hAnsi="宋体" w:eastAsia="宋体" w:cs="宋体"/>
          <w:color w:val="auto"/>
          <w:sz w:val="24"/>
          <w:szCs w:val="24"/>
          <w:highlight w:val="none"/>
        </w:rPr>
        <w:t xml:space="preserve">8.4乙方应做好安全生产，确保必要的安全投入。服务过程中发生人员伤亡等安全事故，由乙方承担责任。</w:t>
      </w:r>
      <w:r/>
    </w:p>
    <w:p>
      <w:pPr>
        <w:ind w:firstLine="47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9.争议解决：</w:t>
      </w:r>
      <w:bookmarkEnd w:id="69"/>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9.1本合同发生争议，由双方协商或调解解决，协商或调解不成时可以向甲方所在地人民法院起诉。</w:t>
      </w:r>
      <w:bookmarkStart w:id="70" w:name="_Toc81879422"/>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10.合同构成：</w:t>
      </w:r>
      <w:bookmarkEnd w:id="7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10.1下述文件是构成合同不可分割的部分，具有同等的法律效力，应一并阅读和理解。</w:t>
      </w:r>
      <w:r/>
    </w:p>
    <w:p>
      <w:pPr>
        <w:numPr>
          <w:ilvl w:val="0"/>
          <w:numId w:val="2"/>
        </w:num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本合同协议书；</w:t>
      </w:r>
      <w:r/>
    </w:p>
    <w:p>
      <w:pPr>
        <w:numPr>
          <w:ilvl w:val="0"/>
          <w:numId w:val="2"/>
        </w:num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w:t>
      </w:r>
      <w:r/>
    </w:p>
    <w:p>
      <w:pPr>
        <w:numPr>
          <w:ilvl w:val="0"/>
          <w:numId w:val="2"/>
        </w:num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采购文件及附件；</w:t>
      </w:r>
      <w:r/>
    </w:p>
    <w:p>
      <w:pPr>
        <w:numPr>
          <w:ilvl w:val="0"/>
          <w:numId w:val="2"/>
        </w:num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投标文件及附件；</w:t>
      </w:r>
      <w:r/>
    </w:p>
    <w:p>
      <w:pPr>
        <w:numPr>
          <w:ilvl w:val="0"/>
          <w:numId w:val="2"/>
        </w:num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经双方协商一致达成的补充协议。</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10.2上述文件应认为是互为补充和解释的，若有不明确及不一致之处，以上面所列顺序在前及时间在后者为准。</w:t>
      </w:r>
      <w:bookmarkStart w:id="71" w:name="_Toc81879423"/>
      <w:r/>
      <w:r/>
    </w:p>
    <w:p>
      <w:pPr>
        <w:ind w:firstLine="482"/>
        <w:spacing w:line="48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11.合同期限与数量：</w:t>
      </w:r>
      <w:bookmarkEnd w:id="71"/>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11.1本合同期限为</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开始至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止。</w:t>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本合同一式捌份，具有同等法律效力，采购人四份、供应商四份。</w:t>
      </w:r>
      <w:bookmarkStart w:id="72" w:name="_Toc81879424"/>
      <w:r/>
      <w:r/>
    </w:p>
    <w:p>
      <w:pPr>
        <w:ind w:firstLine="482"/>
        <w:spacing w:line="480" w:lineRule="exact"/>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12.合同未尽事宜：</w:t>
      </w:r>
      <w:bookmarkEnd w:id="72"/>
      <w:r/>
      <w:r/>
    </w:p>
    <w:p>
      <w:pPr>
        <w:ind w:firstLine="480"/>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12.1合同中未尽事宜，甲乙双方应友好协商，按国家有关法律、法规执行。</w:t>
      </w:r>
      <w:r/>
    </w:p>
    <w:p>
      <w:pPr>
        <w:ind w:firstLine="240"/>
        <w:spacing w:after="6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甲方：                                乙方：</w:t>
      </w:r>
      <w:r>
        <w:rPr>
          <w:rFonts w:hint="eastAsia" w:ascii="宋体" w:hAnsi="宋体" w:eastAsia="宋体" w:cs="宋体"/>
          <w:bCs/>
          <w:color w:val="auto"/>
          <w:sz w:val="24"/>
          <w:szCs w:val="24"/>
          <w:highlight w:val="none"/>
        </w:rPr>
        <w:t xml:space="preserve"> </w:t>
      </w:r>
      <w:r/>
    </w:p>
    <w:p>
      <w:pPr>
        <w:ind w:firstLine="240"/>
        <w:spacing w:after="60" w:line="360" w:lineRule="auto"/>
        <w:tabs>
          <w:tab w:val="left" w:pos="4938" w:leader="none"/>
          <w:tab w:val="left" w:pos="520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240"/>
        <w:spacing w:after="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w:t>
      </w:r>
      <w:r/>
    </w:p>
    <w:p>
      <w:pPr>
        <w:ind w:firstLine="560"/>
        <w:spacing w:line="4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spacing w:line="500"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r>
      <w:r/>
    </w:p>
    <w:p>
      <w:pPr>
        <w:ind w:left="0" w:firstLine="72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仿宋" w:hAnsi="仿宋" w:eastAsia="仿宋" w:cs="宋体"/>
          <w:bCs/>
          <w:color w:val="auto"/>
          <w:sz w:val="36"/>
          <w:szCs w:val="36"/>
          <w:highlight w:val="none"/>
        </w:rPr>
        <w:br w:type="page" w:clear="all"/>
      </w:r>
      <w:r/>
    </w:p>
    <w:p>
      <w:pPr>
        <w:pStyle w:val="1176"/>
        <w:jc w:val="center"/>
        <w:spacing w:line="460" w:lineRule="exact"/>
        <w:rPr>
          <w:rFonts w:hAnsi="宋体" w:cs="宋体"/>
          <w:color w:val="auto"/>
          <w:sz w:val="28"/>
          <w:szCs w:val="28"/>
          <w:highlight w:val="none"/>
        </w:rPr>
      </w:pPr>
      <w:r>
        <w:rPr>
          <w:rFonts w:hint="eastAsia" w:hAnsi="宋体" w:cs="宋体"/>
          <w:bCs/>
          <w:color w:val="auto"/>
          <w:sz w:val="36"/>
          <w:szCs w:val="36"/>
          <w:highlight w:val="none"/>
        </w:rPr>
        <w:t xml:space="preserve">第四部分  开标和评标</w:t>
      </w:r>
      <w:r/>
    </w:p>
    <w:p>
      <w:pPr>
        <w:pStyle w:val="1095"/>
        <w:ind w:left="0" w:right="0" w:firstLine="562"/>
        <w:jc w:val="left"/>
        <w:spacing w:before="0" w:after="0" w:line="4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pStyle w:val="1095"/>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95"/>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（一）招标人（代表）对投标人资格进行审查。</w:t>
      </w:r>
      <w:r/>
    </w:p>
    <w:p>
      <w:pPr>
        <w:pStyle w:val="1099"/>
        <w:ind w:firstLine="560"/>
        <w:spacing w:line="50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099"/>
        <w:ind w:firstLine="560"/>
        <w:spacing w:line="50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各投标人得分为评委会成员评分的算术平均分，分值四舍五入保留小数点后两位。</w:t>
      </w:r>
      <w:r/>
    </w:p>
    <w:tbl>
      <w:tblPr>
        <w:tblStyle w:val="11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371"/>
        <w:gridCol w:w="5836"/>
        <w:gridCol w:w="945"/>
      </w:tblGrid>
      <w:tr>
        <w:trPr>
          <w:jc w:val="center"/>
        </w:trPr>
        <w:tc>
          <w:tcPr>
            <w:tcW w:w="844" w:type="dxa"/>
            <w:vAlign w:val="top"/>
            <w:textDirection w:val="lrTb"/>
            <w:noWrap w:val="false"/>
          </w:tcPr>
          <w:p>
            <w:pPr>
              <w:pStyle w:val="1095"/>
              <w:numPr>
                <w:ilvl w:val="0"/>
                <w:numId w:val="0"/>
              </w:numPr>
              <w:ind w:right="0"/>
              <w:keepLines w:val="0"/>
              <w:keepNext w:val="0"/>
              <w:pageBreakBefore w:val="0"/>
              <w:spacing w:before="0" w:after="0" w:line="0" w:lineRule="atLeast"/>
              <w:widowControl w:val="off"/>
              <w:rPr>
                <w:rFonts w:ascii="宋体" w:hAnsi="宋体" w:eastAsia="宋体" w:cs="Times New Roman"/>
                <w:b/>
                <w:color w:val="auto"/>
                <w:sz w:val="24"/>
                <w:szCs w:val="24"/>
                <w:highlight w:val="none"/>
                <w:vertAlign w:val="baseline"/>
                <w:lang w:val="en-US" w:eastAsia="zh-CN"/>
              </w:rPr>
            </w:pPr>
            <w:r>
              <w:rPr>
                <w:rFonts w:hint="eastAsia" w:ascii="宋体" w:hAnsi="宋体" w:eastAsia="宋体" w:cs="Times New Roman"/>
                <w:b/>
                <w:color w:val="auto"/>
                <w:sz w:val="24"/>
                <w:szCs w:val="24"/>
                <w:highlight w:val="none"/>
                <w:vertAlign w:val="baseline"/>
                <w:lang w:val="en-US" w:eastAsia="zh-CN"/>
              </w:rPr>
              <w:t xml:space="preserve">序号</w:t>
            </w:r>
            <w:r/>
          </w:p>
        </w:tc>
        <w:tc>
          <w:tcPr>
            <w:tcW w:w="1371" w:type="dxa"/>
            <w:vAlign w:val="top"/>
            <w:textDirection w:val="lrTb"/>
            <w:noWrap w:val="false"/>
          </w:tcPr>
          <w:p>
            <w:pPr>
              <w:pStyle w:val="1095"/>
              <w:numPr>
                <w:ilvl w:val="0"/>
                <w:numId w:val="0"/>
              </w:numPr>
              <w:ind w:right="0"/>
              <w:keepLines w:val="0"/>
              <w:keepNext w:val="0"/>
              <w:pageBreakBefore w:val="0"/>
              <w:spacing w:before="0" w:after="0" w:line="0" w:lineRule="atLeast"/>
              <w:widowControl w:val="off"/>
              <w:rPr>
                <w:rFonts w:ascii="宋体" w:hAnsi="宋体" w:eastAsia="宋体" w:cs="Times New Roman"/>
                <w:b/>
                <w:color w:val="auto"/>
                <w:sz w:val="24"/>
                <w:szCs w:val="24"/>
                <w:highlight w:val="none"/>
                <w:vertAlign w:val="baseline"/>
                <w:lang w:val="en-US" w:eastAsia="zh-CN"/>
              </w:rPr>
            </w:pPr>
            <w:r>
              <w:rPr>
                <w:rFonts w:hint="eastAsia" w:ascii="宋体" w:hAnsi="宋体" w:eastAsia="宋体" w:cs="Times New Roman"/>
                <w:b/>
                <w:color w:val="auto"/>
                <w:sz w:val="24"/>
                <w:szCs w:val="24"/>
                <w:highlight w:val="none"/>
                <w:vertAlign w:val="baseline"/>
                <w:lang w:val="en-US" w:eastAsia="zh-CN"/>
              </w:rPr>
              <w:t xml:space="preserve">评分点名称</w:t>
            </w:r>
            <w:r/>
          </w:p>
        </w:tc>
        <w:tc>
          <w:tcPr>
            <w:tcW w:w="5836" w:type="dxa"/>
            <w:vAlign w:val="top"/>
            <w:textDirection w:val="lrTb"/>
            <w:noWrap w:val="false"/>
          </w:tcPr>
          <w:p>
            <w:pPr>
              <w:pStyle w:val="1095"/>
              <w:numPr>
                <w:ilvl w:val="0"/>
                <w:numId w:val="0"/>
              </w:numPr>
              <w:ind w:right="0"/>
              <w:jc w:val="center"/>
              <w:keepLines w:val="0"/>
              <w:keepNext w:val="0"/>
              <w:pageBreakBefore w:val="0"/>
              <w:spacing w:before="0" w:after="0" w:line="0" w:lineRule="atLeast"/>
              <w:widowControl w:val="off"/>
              <w:rPr>
                <w:rFonts w:ascii="宋体" w:hAnsi="宋体" w:eastAsia="宋体" w:cs="Times New Roman"/>
                <w:b/>
                <w:color w:val="auto"/>
                <w:sz w:val="24"/>
                <w:szCs w:val="24"/>
                <w:highlight w:val="none"/>
                <w:vertAlign w:val="baseline"/>
                <w:lang w:val="en-US" w:eastAsia="zh-CN"/>
              </w:rPr>
            </w:pPr>
            <w:r>
              <w:rPr>
                <w:rFonts w:hint="eastAsia" w:ascii="宋体" w:hAnsi="宋体" w:eastAsia="宋体" w:cs="Times New Roman"/>
                <w:b/>
                <w:color w:val="auto"/>
                <w:sz w:val="24"/>
                <w:szCs w:val="24"/>
                <w:highlight w:val="none"/>
                <w:vertAlign w:val="baseline"/>
                <w:lang w:val="en-US" w:eastAsia="zh-CN"/>
              </w:rPr>
              <w:t xml:space="preserve">评审标准</w:t>
            </w:r>
            <w:r/>
          </w:p>
        </w:tc>
        <w:tc>
          <w:tcPr>
            <w:tcW w:w="945" w:type="dxa"/>
            <w:vAlign w:val="top"/>
            <w:textDirection w:val="lrTb"/>
            <w:noWrap w:val="false"/>
          </w:tcPr>
          <w:p>
            <w:pPr>
              <w:pStyle w:val="1095"/>
              <w:numPr>
                <w:ilvl w:val="0"/>
                <w:numId w:val="0"/>
              </w:numPr>
              <w:ind w:right="0"/>
              <w:keepLines w:val="0"/>
              <w:keepNext w:val="0"/>
              <w:pageBreakBefore w:val="0"/>
              <w:spacing w:before="0" w:after="0" w:line="0" w:lineRule="atLeast"/>
              <w:widowControl w:val="off"/>
              <w:rPr>
                <w:rFonts w:ascii="宋体" w:hAnsi="宋体" w:eastAsia="宋体" w:cs="Times New Roman"/>
                <w:b/>
                <w:color w:val="auto"/>
                <w:sz w:val="24"/>
                <w:szCs w:val="24"/>
                <w:highlight w:val="none"/>
                <w:vertAlign w:val="baseline"/>
                <w:lang w:val="en-US" w:eastAsia="zh-CN"/>
              </w:rPr>
            </w:pPr>
            <w:r>
              <w:rPr>
                <w:rFonts w:hint="eastAsia" w:ascii="宋体" w:hAnsi="宋体" w:cs="Times New Roman"/>
                <w:b/>
                <w:color w:val="auto"/>
                <w:sz w:val="24"/>
                <w:szCs w:val="24"/>
                <w:highlight w:val="none"/>
                <w:vertAlign w:val="baseline"/>
                <w:lang w:val="en-US" w:eastAsia="zh-CN"/>
              </w:rPr>
              <w:t xml:space="preserve">标准</w:t>
            </w:r>
            <w:r>
              <w:rPr>
                <w:rFonts w:hint="eastAsia" w:ascii="宋体" w:hAnsi="宋体" w:eastAsia="宋体" w:cs="Times New Roman"/>
                <w:b/>
                <w:color w:val="auto"/>
                <w:sz w:val="24"/>
                <w:szCs w:val="24"/>
                <w:highlight w:val="none"/>
                <w:vertAlign w:val="baseline"/>
                <w:lang w:val="en-US" w:eastAsia="zh-CN"/>
              </w:rPr>
              <w:t xml:space="preserve">分</w:t>
            </w:r>
            <w:r/>
          </w:p>
        </w:tc>
      </w:tr>
      <w:tr>
        <w:trPr>
          <w:jc w:val="center"/>
        </w:trPr>
        <w:tc>
          <w:tcPr>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w:t>
            </w:r>
            <w:r/>
          </w:p>
        </w:tc>
        <w:tc>
          <w:tcPr>
            <w:tcW w:w="1371"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类似业绩服务</w:t>
            </w:r>
            <w:r/>
          </w:p>
        </w:tc>
        <w:tc>
          <w:tcPr>
            <w:tcW w:w="5836"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具有涉水作业成功案例或类似服务业绩的，每个得3分，最多得15分。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以上业绩为执法服务项目的，每个加2.5分，最多加5分。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每个业绩需提供</w:t>
            </w: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color w:val="auto"/>
                <w:sz w:val="24"/>
                <w:szCs w:val="24"/>
                <w:highlight w:val="none"/>
                <w:lang w:bidi="ar"/>
              </w:rPr>
              <w:t xml:space="preserve">合同或者服务协议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②合同协议对应的结算费用复印件</w:t>
            </w:r>
            <w:r>
              <w:rPr>
                <w:rFonts w:hint="eastAsia" w:ascii="宋体" w:hAnsi="宋体" w:eastAsia="宋体" w:cs="宋体"/>
                <w:color w:val="auto"/>
                <w:sz w:val="24"/>
                <w:szCs w:val="24"/>
                <w:highlight w:val="none"/>
                <w:lang w:bidi="ar"/>
              </w:rPr>
              <w:t xml:space="preserve">佐证材料。</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20</w:t>
            </w:r>
            <w:r/>
          </w:p>
        </w:tc>
      </w:tr>
      <w:tr>
        <w:trPr>
          <w:jc w:val="center"/>
        </w:trPr>
        <w:tc>
          <w:tcPr>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
              </w:rPr>
              <w:t xml:space="preserve">2</w:t>
            </w:r>
            <w:r/>
          </w:p>
        </w:tc>
        <w:tc>
          <w:tcPr>
            <w:tcW w:w="1371" w:type="dxa"/>
            <w:vAlign w:val="center"/>
            <w:textDirection w:val="lrTb"/>
            <w:noWrap w:val="false"/>
          </w:tcPr>
          <w:p>
            <w:pPr>
              <w:jc w:val="center"/>
              <w:widowControl/>
              <w:rPr>
                <w:rFonts w:hint="default" w:ascii="宋体" w:hAnsi="宋体" w:eastAsia="宋体" w:cs="宋体"/>
                <w:b/>
                <w:color w:val="auto"/>
                <w:sz w:val="24"/>
                <w:szCs w:val="24"/>
                <w:highlight w:val="none"/>
                <w:vertAlign w:val="baseline"/>
                <w:lang w:val="en-US" w:eastAsia="zh-CN"/>
              </w:rPr>
            </w:pPr>
            <w:r>
              <w:rPr>
                <w:rFonts w:hint="eastAsia" w:ascii="宋体" w:hAnsi="宋体" w:cs="宋体"/>
                <w:b/>
                <w:color w:val="auto"/>
                <w:sz w:val="24"/>
                <w:szCs w:val="24"/>
                <w:highlight w:val="none"/>
                <w:vertAlign w:val="baseline"/>
                <w:lang w:val="en-US" w:eastAsia="zh-CN"/>
              </w:rPr>
              <w:t xml:space="preserve">企业认证</w:t>
            </w:r>
            <w:r/>
          </w:p>
        </w:tc>
        <w:tc>
          <w:tcPr>
            <w:tcW w:w="5836"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投标人具有ISO9001质量管理体系认证、ISO14001环境管理体系认证</w:t>
            </w:r>
            <w:r>
              <w:rPr>
                <w:rFonts w:hint="eastAsia" w:ascii="宋体" w:hAnsi="宋体" w:eastAsia="宋体" w:cs="宋体"/>
                <w:color w:val="auto"/>
                <w:sz w:val="24"/>
                <w:szCs w:val="24"/>
                <w:highlight w:val="none"/>
                <w:lang w:eastAsia="zh-CN" w:bidi="ar"/>
              </w:rPr>
              <w:t xml:space="preserve">、</w:t>
            </w:r>
            <w:r>
              <w:rPr>
                <w:rFonts w:hint="default" w:ascii="宋体" w:hAnsi="宋体" w:eastAsia="宋体" w:cs="宋体"/>
                <w:color w:val="auto"/>
                <w:sz w:val="24"/>
                <w:szCs w:val="24"/>
                <w:highlight w:val="none"/>
                <w:lang w:bidi="ar"/>
              </w:rPr>
              <w:t xml:space="preserve">ISO 45001职业健康安全管理体系认证</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每个得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分，本项最高得分</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6</w:t>
            </w:r>
            <w:r/>
          </w:p>
        </w:tc>
      </w:tr>
      <w:tr>
        <w:trPr>
          <w:jc w:val="center"/>
        </w:trPr>
        <w:tc>
          <w:tcPr>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
              </w:rPr>
              <w:t xml:space="preserve">3</w:t>
            </w:r>
            <w:r/>
          </w:p>
        </w:tc>
        <w:tc>
          <w:tcPr>
            <w:tcW w:w="1371" w:type="dxa"/>
            <w:vAlign w:val="center"/>
            <w:textDirection w:val="lrTb"/>
            <w:noWrap w:val="false"/>
          </w:tcPr>
          <w:p>
            <w:pPr>
              <w:jc w:val="left"/>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设备投入</w:t>
            </w:r>
            <w:r/>
          </w:p>
        </w:tc>
        <w:tc>
          <w:tcPr>
            <w:tcW w:w="5836" w:type="dxa"/>
            <w:vAlign w:val="center"/>
            <w:textDirection w:val="lrTb"/>
            <w:noWrap w:val="false"/>
          </w:tcPr>
          <w:p>
            <w:pPr>
              <w:numPr>
                <w:ilvl w:val="0"/>
                <w:numId w:val="0"/>
              </w:num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拟投入船艇具有合法有效证照。两艘艇平均使用年限在10年以内的，得1</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分；在11年以内的，得</w:t>
            </w:r>
            <w:r>
              <w:rPr>
                <w:rFonts w:hint="eastAsia" w:ascii="宋体" w:hAnsi="宋体" w:cs="宋体"/>
                <w:color w:val="auto"/>
                <w:sz w:val="24"/>
                <w:szCs w:val="24"/>
                <w:highlight w:val="none"/>
                <w:lang w:val="en-US" w:eastAsia="zh-CN" w:bidi="ar"/>
              </w:rPr>
              <w:t xml:space="preserve">14</w:t>
            </w:r>
            <w:r>
              <w:rPr>
                <w:rFonts w:hint="eastAsia" w:ascii="宋体" w:hAnsi="宋体" w:eastAsia="宋体" w:cs="宋体"/>
                <w:color w:val="auto"/>
                <w:sz w:val="24"/>
                <w:szCs w:val="24"/>
                <w:highlight w:val="none"/>
                <w:lang w:bidi="ar"/>
              </w:rPr>
              <w:t xml:space="preserve">分；在12年以内的，得1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分；在13年以内的，得</w:t>
            </w:r>
            <w:r>
              <w:rPr>
                <w:rFonts w:hint="eastAsia" w:ascii="宋体"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bidi="ar"/>
              </w:rPr>
              <w:t xml:space="preserve">分......以此类推。提供相关资料。最多得1</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分，最少0分。</w:t>
            </w:r>
            <w:r/>
          </w:p>
          <w:p>
            <w:pPr>
              <w:numPr>
                <w:ilvl w:val="0"/>
                <w:numId w:val="0"/>
              </w:numPr>
              <w:ind w:left="0" w:firstLine="0"/>
              <w:jc w:val="left"/>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船艇配套设备设施齐全，外观形象良好，</w:t>
            </w:r>
            <w:r>
              <w:rPr>
                <w:rFonts w:hint="eastAsia" w:ascii="宋体" w:hAnsi="宋体" w:cs="宋体"/>
                <w:color w:val="auto"/>
                <w:sz w:val="24"/>
                <w:szCs w:val="24"/>
                <w:highlight w:val="none"/>
                <w:lang w:val="en-US" w:eastAsia="zh-CN" w:bidi="ar"/>
              </w:rPr>
              <w:t xml:space="preserve">或者承诺中标后1个月内按前述改造到位（提供承诺函和改造方案）</w:t>
            </w:r>
            <w:r>
              <w:rPr>
                <w:rFonts w:hint="eastAsia" w:ascii="宋体" w:hAnsi="宋体" w:eastAsia="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分；船艇配套设备设施较齐全，外观形象较好，</w:t>
            </w:r>
            <w:r>
              <w:rPr>
                <w:rFonts w:hint="eastAsia" w:ascii="宋体" w:hAnsi="宋体" w:cs="宋体"/>
                <w:color w:val="auto"/>
                <w:sz w:val="24"/>
                <w:szCs w:val="24"/>
                <w:highlight w:val="none"/>
                <w:lang w:val="en-US" w:eastAsia="zh-CN" w:bidi="ar"/>
              </w:rPr>
              <w:t xml:space="preserve">或者承诺中标后1个月内按前述改造到位（提供承诺函和改造方案）</w:t>
            </w:r>
            <w:r>
              <w:rPr>
                <w:rFonts w:hint="eastAsia" w:ascii="宋体" w:hAnsi="宋体" w:eastAsia="宋体" w:cs="宋体"/>
                <w:color w:val="auto"/>
                <w:sz w:val="24"/>
                <w:szCs w:val="24"/>
                <w:highlight w:val="none"/>
                <w:lang w:bidi="ar"/>
              </w:rPr>
              <w:t xml:space="preserve">得2分；船艇配套设备设施不够齐全，外观形象一般，得1分。提供设备设施清单、船艇实物照片</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或者改造方案、承诺函</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20</w:t>
            </w:r>
            <w:r/>
          </w:p>
        </w:tc>
      </w:tr>
      <w:tr>
        <w:trPr>
          <w:jc w:val="center"/>
        </w:trPr>
        <w:tc>
          <w:tcPr>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4</w:t>
            </w:r>
            <w:r/>
          </w:p>
        </w:tc>
        <w:tc>
          <w:tcPr>
            <w:tcW w:w="1371" w:type="dxa"/>
            <w:vAlign w:val="center"/>
            <w:textDirection w:val="lrTb"/>
            <w:noWrap w:val="false"/>
          </w:tcPr>
          <w:p>
            <w:pPr>
              <w:jc w:val="left"/>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人员配备</w:t>
            </w:r>
            <w:r/>
          </w:p>
        </w:tc>
        <w:tc>
          <w:tcPr>
            <w:tcW w:w="5836"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配备所有服务人员不得超过法定退休年龄。提供人员配备方案、花名册（提供人员身份证复印件、船舶驾驶证件、工作简历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投标人为其缴纳的2025年任意一个月的社保证明材料或签订的劳动合同复印件</w:t>
            </w:r>
            <w:r>
              <w:rPr>
                <w:rFonts w:hint="eastAsia" w:ascii="宋体" w:hAnsi="宋体" w:eastAsia="宋体" w:cs="宋体"/>
                <w:color w:val="auto"/>
                <w:sz w:val="24"/>
                <w:szCs w:val="24"/>
                <w:highlight w:val="none"/>
                <w:lang w:bidi="ar"/>
              </w:rPr>
              <w:t xml:space="preserve">等资料）。</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1.①人员配备充足且合理，能完全匹配项目具体服务需求</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bidi="ar"/>
              </w:rPr>
              <w:t xml:space="preserve">得 5 分；②人员配备较充足且合理，基本满足项目实际服务需求</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bidi="ar"/>
              </w:rPr>
              <w:t xml:space="preserve">得 3 分；③人员配备数量偏少，整体配置不太合理，难以全面支撑项目日常工作有效开展</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bidi="ar"/>
              </w:rPr>
              <w:t xml:space="preserve">得 1 分；④没有提供方案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花名册</w:t>
            </w:r>
            <w:r>
              <w:rPr>
                <w:rFonts w:hint="eastAsia" w:ascii="宋体" w:hAnsi="宋体" w:eastAsia="宋体" w:cs="宋体"/>
                <w:color w:val="auto"/>
                <w:sz w:val="24"/>
                <w:szCs w:val="24"/>
                <w:highlight w:val="none"/>
                <w:lang w:bidi="ar"/>
              </w:rPr>
              <w:t xml:space="preserve">的不得分。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2.人员平均年龄</w:t>
            </w:r>
            <w:r>
              <w:rPr>
                <w:rFonts w:hint="eastAsia" w:ascii="宋体" w:hAnsi="宋体" w:eastAsia="宋体" w:cs="宋体"/>
                <w:color w:val="auto"/>
                <w:sz w:val="24"/>
                <w:szCs w:val="24"/>
                <w:highlight w:val="none"/>
                <w:lang w:val="en-US" w:eastAsia="zh-CN" w:bidi="ar"/>
              </w:rPr>
              <w:t xml:space="preserve">不高于</w:t>
            </w:r>
            <w:r>
              <w:rPr>
                <w:rFonts w:hint="eastAsia" w:ascii="宋体" w:hAnsi="宋体" w:eastAsia="宋体" w:cs="宋体"/>
                <w:color w:val="auto"/>
                <w:sz w:val="24"/>
                <w:szCs w:val="24"/>
                <w:highlight w:val="none"/>
                <w:lang w:bidi="ar"/>
              </w:rPr>
              <w:t xml:space="preserve">50周岁的，得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分；人员平均年龄</w:t>
            </w:r>
            <w:r>
              <w:rPr>
                <w:rFonts w:hint="eastAsia" w:ascii="宋体" w:hAnsi="宋体" w:eastAsia="宋体" w:cs="宋体"/>
                <w:color w:val="auto"/>
                <w:sz w:val="24"/>
                <w:szCs w:val="24"/>
                <w:highlight w:val="none"/>
                <w:lang w:val="en-US" w:eastAsia="zh-CN" w:bidi="ar"/>
              </w:rPr>
              <w:t xml:space="preserve">不高于55</w:t>
            </w:r>
            <w:r>
              <w:rPr>
                <w:rFonts w:hint="eastAsia" w:ascii="宋体" w:hAnsi="宋体" w:eastAsia="宋体" w:cs="宋体"/>
                <w:color w:val="auto"/>
                <w:sz w:val="24"/>
                <w:szCs w:val="24"/>
                <w:highlight w:val="none"/>
                <w:lang w:bidi="ar"/>
              </w:rPr>
              <w:t xml:space="preserve">周岁的，得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分；人员平均年龄</w:t>
            </w:r>
            <w:r>
              <w:rPr>
                <w:rFonts w:hint="eastAsia" w:ascii="宋体" w:hAnsi="宋体" w:eastAsia="宋体" w:cs="宋体"/>
                <w:color w:val="auto"/>
                <w:sz w:val="24"/>
                <w:szCs w:val="24"/>
                <w:highlight w:val="none"/>
                <w:lang w:val="en-US" w:eastAsia="zh-CN" w:bidi="ar"/>
              </w:rPr>
              <w:t xml:space="preserve">不高于60</w:t>
            </w:r>
            <w:r>
              <w:rPr>
                <w:rFonts w:hint="eastAsia" w:ascii="宋体" w:hAnsi="宋体" w:eastAsia="宋体" w:cs="宋体"/>
                <w:color w:val="auto"/>
                <w:sz w:val="24"/>
                <w:szCs w:val="24"/>
                <w:highlight w:val="none"/>
                <w:lang w:bidi="ar"/>
              </w:rPr>
              <w:t xml:space="preserve">周岁的，得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平均年龄高于60周岁的不得分，本小项最高得5分。</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10</w:t>
            </w:r>
            <w:r/>
          </w:p>
        </w:tc>
      </w:tr>
      <w:tr>
        <w:trPr>
          <w:jc w:val="center"/>
        </w:trPr>
        <w:tc>
          <w:tcPr>
            <w:shd w:val="clear" w:color="auto" w:fill="auto"/>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1371"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权益保障</w:t>
            </w:r>
            <w:r/>
          </w:p>
        </w:tc>
        <w:tc>
          <w:tcPr>
            <w:tcW w:w="5836"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为保障劳动者权益，投标人为所</w:t>
            </w:r>
            <w:r>
              <w:rPr>
                <w:rFonts w:hint="eastAsia" w:ascii="宋体" w:hAnsi="宋体" w:eastAsia="宋体" w:cs="宋体"/>
                <w:color w:val="auto"/>
                <w:sz w:val="24"/>
                <w:szCs w:val="24"/>
                <w:highlight w:val="none"/>
                <w:lang w:val="en-US" w:eastAsia="zh-CN" w:bidi="ar"/>
              </w:rPr>
              <w:t xml:space="preserve">配备</w:t>
            </w:r>
            <w:r>
              <w:rPr>
                <w:rFonts w:hint="eastAsia" w:ascii="宋体" w:hAnsi="宋体" w:eastAsia="宋体" w:cs="宋体"/>
                <w:color w:val="auto"/>
                <w:sz w:val="24"/>
                <w:szCs w:val="24"/>
                <w:highlight w:val="none"/>
                <w:lang w:bidi="ar"/>
              </w:rPr>
              <w:t xml:space="preserve">人员购买保险，给出具体措施及承诺（承诺函格式自拟）：</w:t>
            </w:r>
            <w:r/>
          </w:p>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为本项目所投入的所有员工购买意外伤害保险，保额保额 200 万（含）以上得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分，100（含）~200 万（不含）得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分，100 万元（不含）以下得 1 分</w:t>
            </w:r>
            <w:r>
              <w:rPr>
                <w:rFonts w:hint="eastAsia" w:ascii="宋体" w:hAnsi="宋体" w:eastAsia="宋体" w:cs="宋体"/>
                <w:color w:val="auto"/>
                <w:sz w:val="24"/>
                <w:szCs w:val="24"/>
                <w:highlight w:val="none"/>
                <w:lang w:eastAsia="zh-CN" w:bidi="ar"/>
              </w:rPr>
              <w:t xml:space="preserve">。未承诺不得分。</w:t>
            </w:r>
            <w:r/>
          </w:p>
        </w:tc>
        <w:tc>
          <w:tcPr>
            <w:tcW w:w="945" w:type="dxa"/>
            <w:vAlign w:val="center"/>
            <w:textDirection w:val="lrTb"/>
            <w:noWrap w:val="false"/>
          </w:tcPr>
          <w:p>
            <w:pPr>
              <w:jc w:val="center"/>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r>
      <w:tr>
        <w:trPr>
          <w:jc w:val="center"/>
        </w:trPr>
        <w:tc>
          <w:tcPr>
            <w:shd w:val="clear" w:color="auto" w:fill="auto"/>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1371"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企业内部管理</w:t>
            </w:r>
            <w:r/>
          </w:p>
        </w:tc>
        <w:tc>
          <w:tcPr>
            <w:tcW w:w="5836"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评委对各投标单位的内部管理规章制度制订、执行，劳动用工规范等情况进行评审。</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①内部管理规章制度制订完善且执行到位、劳动用工规范合规，得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②内部管理规章制度制订比较完善且执行情况较好、劳动用工比较规范合规，得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③内部管理规章制度制订不够健全完整且执行存在不足、劳动用工管理不太规范，得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④未提供内部管理及劳动用工相关方案，或方案无实质内容的，不得分。</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5</w:t>
            </w:r>
            <w:r/>
          </w:p>
        </w:tc>
      </w:tr>
      <w:tr>
        <w:trPr>
          <w:jc w:val="center"/>
        </w:trPr>
        <w:tc>
          <w:tcPr>
            <w:shd w:val="clear" w:color="auto" w:fill="auto"/>
            <w:tcW w:w="844"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7</w:t>
            </w:r>
            <w:r/>
          </w:p>
        </w:tc>
        <w:tc>
          <w:tcPr>
            <w:tcW w:w="1371"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运营实施方案</w:t>
            </w:r>
            <w:r/>
          </w:p>
        </w:tc>
        <w:tc>
          <w:tcPr>
            <w:tcW w:w="5836" w:type="dxa"/>
            <w:vAlign w:val="center"/>
            <w:textDirection w:val="lrTb"/>
            <w:noWrap w:val="false"/>
          </w:tcPr>
          <w:p>
            <w:pPr>
              <w:jc w:val="left"/>
              <w:widowControl/>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根据投标单位针对本项目制订的运营实施方案及相关记录台账，从方案的合理性、完整性、系统性、可操作性，以及与项目实际需求的契合度进行综合打分。</w:t>
            </w:r>
            <w:r/>
          </w:p>
          <w:p>
            <w:pPr>
              <w:jc w:val="left"/>
              <w:widowControl/>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①运营实施方案全面合理，服务流程、人员调度、质量管控、应急处置等关键模块内容完整，逻辑严密，可操作性强，与项目需求高度契合，能直接支撑服务落地执行，得</w:t>
            </w:r>
            <w:r>
              <w:rPr>
                <w:rFonts w:hint="eastAsia" w:ascii="宋体" w:hAnsi="宋体" w:cs="宋体"/>
                <w:b w:val="0"/>
                <w:bCs/>
                <w:color w:val="auto"/>
                <w:sz w:val="24"/>
                <w:szCs w:val="24"/>
                <w:highlight w:val="none"/>
                <w:vertAlign w:val="baseline"/>
                <w:lang w:val="en-US" w:eastAsia="zh-CN"/>
              </w:rPr>
              <w:t xml:space="preserve">10</w:t>
            </w:r>
            <w:r>
              <w:rPr>
                <w:rFonts w:hint="eastAsia" w:ascii="宋体" w:hAnsi="宋体" w:eastAsia="宋体" w:cs="宋体"/>
                <w:b w:val="0"/>
                <w:bCs/>
                <w:color w:val="auto"/>
                <w:sz w:val="24"/>
                <w:szCs w:val="24"/>
                <w:highlight w:val="none"/>
                <w:vertAlign w:val="baseline"/>
                <w:lang w:val="en-US" w:eastAsia="zh-CN"/>
              </w:rPr>
              <w:t xml:space="preserve">分；​</w:t>
            </w:r>
            <w:r/>
          </w:p>
          <w:p>
            <w:pPr>
              <w:jc w:val="left"/>
              <w:widowControl/>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②运营实施方案较全面合理，服务流程、人员调度、质量管控等核心模块内容齐全，逻辑清晰且具备可操作性，与项目需求契合度较高，仅非核心模块需小幅优化调整，得</w:t>
            </w:r>
            <w:r>
              <w:rPr>
                <w:rFonts w:hint="eastAsia" w:ascii="宋体" w:hAnsi="宋体" w:cs="宋体"/>
                <w:b w:val="0"/>
                <w:bCs/>
                <w:color w:val="auto"/>
                <w:sz w:val="24"/>
                <w:szCs w:val="24"/>
                <w:highlight w:val="none"/>
                <w:vertAlign w:val="baseline"/>
                <w:lang w:val="en-US" w:eastAsia="zh-CN"/>
              </w:rPr>
              <w:t xml:space="preserve">7</w:t>
            </w:r>
            <w:r>
              <w:rPr>
                <w:rFonts w:hint="eastAsia" w:ascii="宋体" w:hAnsi="宋体" w:eastAsia="宋体" w:cs="宋体"/>
                <w:b w:val="0"/>
                <w:bCs/>
                <w:color w:val="auto"/>
                <w:sz w:val="24"/>
                <w:szCs w:val="24"/>
                <w:highlight w:val="none"/>
                <w:vertAlign w:val="baseline"/>
                <w:lang w:val="en-US" w:eastAsia="zh-CN"/>
              </w:rPr>
              <w:t xml:space="preserve">分；​</w:t>
            </w:r>
            <w:r/>
          </w:p>
          <w:p>
            <w:pPr>
              <w:jc w:val="left"/>
              <w:widowControl/>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③运营实施方案基本满足要求，核心模块内容存在少量缺失，逻辑流畅度一般，可操作性有限，与项目需求契合度一般，需针对性调整后方可落地，得</w:t>
            </w:r>
            <w:r>
              <w:rPr>
                <w:rFonts w:hint="eastAsia" w:ascii="宋体" w:hAnsi="宋体" w:cs="宋体"/>
                <w:b w:val="0"/>
                <w:bCs/>
                <w:color w:val="auto"/>
                <w:sz w:val="24"/>
                <w:szCs w:val="24"/>
                <w:highlight w:val="none"/>
                <w:vertAlign w:val="baseline"/>
                <w:lang w:val="en-US" w:eastAsia="zh-CN"/>
              </w:rPr>
              <w:t xml:space="preserve">4</w:t>
            </w:r>
            <w:r>
              <w:rPr>
                <w:rFonts w:hint="eastAsia" w:ascii="宋体" w:hAnsi="宋体" w:eastAsia="宋体" w:cs="宋体"/>
                <w:b w:val="0"/>
                <w:bCs/>
                <w:color w:val="auto"/>
                <w:sz w:val="24"/>
                <w:szCs w:val="24"/>
                <w:highlight w:val="none"/>
                <w:vertAlign w:val="baseline"/>
                <w:lang w:val="en-US" w:eastAsia="zh-CN"/>
              </w:rPr>
              <w:t xml:space="preserve">分；④运营实施方案内容简略，核心模块不完整，逻辑连贯性不足，可操作性差，与项目需求契合度低，需大幅修订才能符合基本要求，得</w:t>
            </w:r>
            <w:r>
              <w:rPr>
                <w:rFonts w:hint="eastAsia" w:ascii="宋体" w:hAnsi="宋体" w:cs="宋体"/>
                <w:b w:val="0"/>
                <w:bCs/>
                <w:color w:val="auto"/>
                <w:sz w:val="24"/>
                <w:szCs w:val="24"/>
                <w:highlight w:val="none"/>
                <w:vertAlign w:val="baseline"/>
                <w:lang w:val="en-US" w:eastAsia="zh-CN"/>
              </w:rPr>
              <w:t xml:space="preserve">1</w:t>
            </w:r>
            <w:r>
              <w:rPr>
                <w:rFonts w:hint="eastAsia" w:ascii="宋体" w:hAnsi="宋体" w:eastAsia="宋体" w:cs="宋体"/>
                <w:b w:val="0"/>
                <w:bCs/>
                <w:color w:val="auto"/>
                <w:sz w:val="24"/>
                <w:szCs w:val="24"/>
                <w:highlight w:val="none"/>
                <w:vertAlign w:val="baseline"/>
                <w:lang w:val="en-US" w:eastAsia="zh-CN"/>
              </w:rPr>
              <w:t xml:space="preserve">分；​</w:t>
            </w:r>
            <w:r/>
          </w:p>
          <w:p>
            <w:pPr>
              <w:jc w:val="left"/>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⑤未提供运营实施方案，或方案仅为框架性表述、无实质内容的，不得分。</w:t>
            </w:r>
            <w:r/>
          </w:p>
        </w:tc>
        <w:tc>
          <w:tcPr>
            <w:tcW w:w="945" w:type="dxa"/>
            <w:vAlign w:val="center"/>
            <w:textDirection w:val="lrTb"/>
            <w:noWrap w:val="false"/>
          </w:tcPr>
          <w:p>
            <w:pPr>
              <w:jc w:val="center"/>
              <w:widowControl/>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10</w:t>
            </w:r>
            <w:r/>
          </w:p>
        </w:tc>
      </w:tr>
      <w:tr>
        <w:trPr>
          <w:jc w:val="center"/>
          <w:trHeight w:val="537"/>
        </w:trPr>
        <w:tc>
          <w:tcPr>
            <w:tcW w:w="844" w:type="dxa"/>
            <w:vAlign w:val="center"/>
            <w:textDirection w:val="lrTb"/>
            <w:noWrap w:val="false"/>
          </w:tcPr>
          <w:p>
            <w:pPr>
              <w:jc w:val="center"/>
              <w:widowControl/>
              <w:rPr>
                <w:rFonts w:hint="default" w:ascii="宋体" w:hAnsi="宋体" w:eastAsia="宋体" w:cs="宋体"/>
                <w:b/>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 xml:space="preserve">8</w:t>
            </w:r>
            <w:r/>
          </w:p>
        </w:tc>
        <w:tc>
          <w:tcPr>
            <w:tcW w:w="1371"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突发事件应急预案</w:t>
            </w:r>
            <w:r/>
          </w:p>
        </w:tc>
        <w:tc>
          <w:tcPr>
            <w:tcW w:w="5836" w:type="dxa"/>
            <w:vAlign w:val="center"/>
            <w:textDirection w:val="lrTb"/>
            <w:noWrap w:val="false"/>
          </w:tcPr>
          <w:p>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根据投标供应商提供应急预案，遇有突发事件，如何及时组织力量做好各项工作，以及突击保障、突发问题解决、纠纷的响应速度、后勤保障措施以及处理方案等是否具有可靠性和周密性等进行评审。</w:t>
            </w:r>
            <w:r/>
          </w:p>
          <w:p>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①应急预案周密且可靠，明确突发事件时力量组织流程（含人员调度、资源调配机制），可实现快速响应；突击保障措施具体（含备用资源储备、应急团队配置），突发问题解决路径清晰，纠纷响应时限明确，后勤保障（含物资、技术支持）全面，处理方案具备直接落地性，得</w:t>
            </w:r>
            <w:r>
              <w:rPr>
                <w:rFonts w:hint="eastAsia" w:ascii="宋体" w:hAnsi="宋体" w:cs="宋体"/>
                <w:b w:val="0"/>
                <w:bCs/>
                <w:color w:val="auto"/>
                <w:sz w:val="24"/>
                <w:szCs w:val="24"/>
                <w:highlight w:val="none"/>
                <w:vertAlign w:val="baseline"/>
                <w:lang w:val="en-US" w:eastAsia="zh-CN"/>
              </w:rPr>
              <w:t xml:space="preserve">5</w:t>
            </w:r>
            <w:r>
              <w:rPr>
                <w:rFonts w:hint="eastAsia" w:ascii="宋体" w:hAnsi="宋体" w:eastAsia="宋体" w:cs="宋体"/>
                <w:b w:val="0"/>
                <w:bCs/>
                <w:color w:val="auto"/>
                <w:sz w:val="24"/>
                <w:szCs w:val="24"/>
                <w:highlight w:val="none"/>
                <w:vertAlign w:val="baseline"/>
                <w:lang w:val="en-US" w:eastAsia="zh-CN"/>
              </w:rPr>
              <w:t xml:space="preserve">分；​</w:t>
            </w:r>
            <w:r/>
          </w:p>
          <w:p>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②应急预案基本周密，突发事件力量组织流程较清晰，但响应效率存在小幅差距；突击保障措施有提及但细节不够完善，突发问题解决路径与纠纷响应时限基本明确，后勤保障措施较基础，处理方案需小幅优化方可落地，得</w:t>
            </w:r>
            <w:r>
              <w:rPr>
                <w:rFonts w:hint="eastAsia" w:ascii="宋体" w:hAnsi="宋体" w:cs="宋体"/>
                <w:b w:val="0"/>
                <w:bCs/>
                <w:color w:val="auto"/>
                <w:sz w:val="24"/>
                <w:szCs w:val="24"/>
                <w:highlight w:val="none"/>
                <w:vertAlign w:val="baseline"/>
                <w:lang w:val="en-US" w:eastAsia="zh-CN"/>
              </w:rPr>
              <w:t xml:space="preserve">3</w:t>
            </w:r>
            <w:r>
              <w:rPr>
                <w:rFonts w:hint="eastAsia" w:ascii="宋体" w:hAnsi="宋体" w:eastAsia="宋体" w:cs="宋体"/>
                <w:b w:val="0"/>
                <w:bCs/>
                <w:color w:val="auto"/>
                <w:sz w:val="24"/>
                <w:szCs w:val="24"/>
                <w:highlight w:val="none"/>
                <w:vertAlign w:val="baseline"/>
                <w:lang w:val="en-US" w:eastAsia="zh-CN"/>
              </w:rPr>
              <w:t xml:space="preserve">分；​</w:t>
            </w:r>
            <w:r/>
          </w:p>
          <w:p>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③应急预案内容简略，突发事件力量组织流程不清晰，突击保障措施缺乏具体内容，突发问题解决与纠纷响应无明确时限，后勤保障措施未明确，处理方案可行性较低，得 1 分；​</w:t>
            </w:r>
            <w:r/>
          </w:p>
          <w:p>
            <w:pP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④未提供应急预案，或预案仅为框架表述、无实质内容的，不得分。</w:t>
            </w:r>
            <w:r/>
          </w:p>
        </w:tc>
        <w:tc>
          <w:tcPr>
            <w:tcW w:w="945" w:type="dxa"/>
            <w:vAlign w:val="center"/>
            <w:textDirection w:val="lrTb"/>
            <w:noWrap w:val="false"/>
          </w:tcPr>
          <w:p>
            <w:pPr>
              <w:jc w:val="center"/>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lang w:val="en-US" w:eastAsia="zh-CN"/>
              </w:rPr>
              <w:t xml:space="preserve">5</w:t>
            </w:r>
            <w:r/>
          </w:p>
        </w:tc>
      </w:tr>
    </w:tbl>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20</w:t>
      </w:r>
      <w:r>
        <w:rPr>
          <w:rFonts w:hint="eastAsia" w:ascii="宋体" w:hAnsi="宋体" w:cs="宋体"/>
          <w:color w:val="auto"/>
          <w:sz w:val="28"/>
          <w:szCs w:val="28"/>
          <w:highlight w:val="none"/>
          <w:lang w:val="zh-CN"/>
        </w:rPr>
        <w:t xml:space="preserve">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0</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）中标人的确定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）公告中标结果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公告中标结果的同时，招标人</w:t>
      </w:r>
      <w:r>
        <w:rPr>
          <w:rFonts w:hint="eastAsia" w:ascii="宋体" w:hAnsi="宋体" w:cs="宋体"/>
          <w:bCs/>
          <w:color w:val="auto"/>
          <w:sz w:val="28"/>
          <w:szCs w:val="28"/>
          <w:highlight w:val="none"/>
        </w:rPr>
        <w:t xml:space="preserve">向中标投标人发放中标通知书。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中标通知书发出后，招标人不得违法改变中标结果，中标投标人无正当理由不得放弃中标。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）其他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当中标人无正当理由放弃中标，被查实存在影响中标结果的违法行为等情形，招标人有权按照政府采购相关法律法规的规定对其采取惩戒措施，包含但不限于列入采购失信人黑名单等措施。</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招标人可以按照评标委员会提出的中标候选人名单排序依次确定其他中标候选人为中标人，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  投标文件组成</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1.报价一览表（苏采云系统固定格式）；</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3.投标报价明细表（格式见附件2）；</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4.投标人信用承诺书（格式见附件3）</w:t>
      </w:r>
      <w:r>
        <w:rPr>
          <w:rFonts w:hint="eastAsia" w:ascii="宋体" w:hAnsi="宋体" w:cs="宋体"/>
          <w:color w:val="auto"/>
          <w:sz w:val="28"/>
          <w:szCs w:val="28"/>
          <w:highlight w:val="none"/>
          <w:lang w:eastAsia="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.法定代表人授权委托书原件，投标代表本人身份证扫描件（格式见附件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4.提供有效的营业执照扫描件加盖公章；</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5.1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5.2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条投标人必须逐条响应，否则作无效响应处理。</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pStyle w:val="883"/>
        <w:ind w:left="0" w:firstLine="560"/>
        <w:jc w:val="left"/>
        <w:spacing w:line="460" w:lineRule="exact"/>
        <w:shd w:val="clear" w:color="auto" w:fill="ffffff"/>
        <w:widowControl/>
        <w:rPr>
          <w:rFonts w:ascii="宋体" w:hAnsi="宋体" w:cs="宋体"/>
          <w:bCs/>
          <w:color w:val="auto"/>
          <w:sz w:val="28"/>
          <w:szCs w:val="28"/>
          <w:highlight w:val="none"/>
        </w:rPr>
        <w:outlineLvl w:val="3"/>
      </w:pP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按本招标文件第三部分项目需求“</w:t>
      </w:r>
      <w:r>
        <w:rPr>
          <w:rFonts w:hint="eastAsia" w:ascii="宋体" w:hAnsi="宋体" w:cs="宋体"/>
          <w:bCs/>
          <w:color w:val="auto"/>
          <w:sz w:val="28"/>
          <w:szCs w:val="28"/>
          <w:highlight w:val="none"/>
          <w:lang w:val="en-US" w:eastAsia="zh-CN"/>
        </w:rPr>
        <w:t xml:space="preserve">六</w:t>
      </w:r>
      <w:r>
        <w:rPr>
          <w:rFonts w:hint="eastAsia" w:ascii="宋体" w:hAnsi="宋体" w:cs="宋体"/>
          <w:bCs/>
          <w:color w:val="auto"/>
          <w:sz w:val="28"/>
          <w:szCs w:val="28"/>
          <w:highlight w:val="none"/>
        </w:rPr>
        <w:t xml:space="preserve">、采购需求中必须满足的实质性要求”提供</w:t>
      </w:r>
      <w:r>
        <w:rPr>
          <w:rFonts w:hint="eastAsia" w:ascii="宋体" w:hAnsi="宋体" w:cs="宋体"/>
          <w:bCs/>
          <w:color w:val="auto"/>
          <w:sz w:val="28"/>
          <w:szCs w:val="28"/>
          <w:highlight w:val="none"/>
          <w:lang w:val="en-US" w:eastAsia="zh-CN"/>
        </w:rPr>
        <w:t xml:space="preserve">承诺函</w:t>
      </w:r>
      <w:r>
        <w:rPr>
          <w:rFonts w:hint="eastAsia" w:ascii="宋体" w:hAnsi="宋体" w:cs="宋体"/>
          <w:bCs/>
          <w:color w:val="auto"/>
          <w:sz w:val="28"/>
          <w:szCs w:val="28"/>
          <w:highlight w:val="none"/>
        </w:rPr>
        <w:t xml:space="preserve">。</w:t>
      </w:r>
      <w:r/>
    </w:p>
    <w:p>
      <w:pPr>
        <w:numPr>
          <w:ilvl w:val="0"/>
          <w:numId w:val="0"/>
        </w:numPr>
        <w:ind w:firstLine="560"/>
        <w:jc w:val="left"/>
        <w:spacing w:line="500" w:lineRule="exact"/>
        <w:rPr>
          <w:rFonts w:hint="default" w:ascii="宋体" w:hAnsi="宋体" w:eastAsia="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2.</w:t>
      </w:r>
      <w:r>
        <w:rPr>
          <w:rFonts w:hint="eastAsia" w:ascii="宋体" w:hAnsi="宋体" w:eastAsia="宋体" w:cs="宋体"/>
          <w:bCs/>
          <w:color w:val="auto"/>
          <w:sz w:val="28"/>
          <w:szCs w:val="28"/>
          <w:highlight w:val="none"/>
          <w:lang w:val="en-US" w:eastAsia="zh-CN" w:bidi="ar-SA"/>
        </w:rPr>
        <w:t xml:space="preserve">异常低价审查（投标（响应）人在投标（响应）时无需提供佐证材料，上传空白页即可。</w:t>
      </w:r>
      <w:r/>
    </w:p>
    <w:p>
      <w:pPr>
        <w:numPr>
          <w:ilvl w:val="0"/>
          <w:numId w:val="0"/>
        </w:numPr>
        <w:ind w:firstLine="562"/>
        <w:jc w:val="left"/>
        <w:spacing w:line="500" w:lineRule="exact"/>
        <w:rPr>
          <w:rFonts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rPr>
        <w:t xml:space="preserve">商务技术文件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300" w:lineRule="auto"/>
        <w:rPr>
          <w:rFonts w:ascii="宋体" w:hAnsi="宋体" w:cs="宋体"/>
          <w:color w:val="auto"/>
          <w:sz w:val="32"/>
          <w:szCs w:val="32"/>
          <w:highlight w:val="none"/>
          <w:lang w:val="zh-CN"/>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附件1</w:t>
      </w:r>
      <w:r/>
    </w:p>
    <w:p>
      <w:pPr>
        <w:contextualSpacing/>
        <w:jc w:val="center"/>
        <w:spacing w:line="300" w:lineRule="auto"/>
        <w:tabs>
          <w:tab w:val="left" w:pos="12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836"/>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1333"/>
        <w:gridCol w:w="567"/>
        <w:gridCol w:w="946"/>
        <w:gridCol w:w="1324"/>
        <w:gridCol w:w="1380"/>
        <w:gridCol w:w="1438"/>
      </w:tblGrid>
      <w:tr>
        <w:trPr>
          <w:trHeight w:val="397"/>
        </w:trPr>
        <w:tc>
          <w:tcPr>
            <w:gridSpan w:val="2"/>
            <w:tcW w:w="1412"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7"/>
            <w:tcW w:w="775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trHeight w:val="397"/>
        </w:trPr>
        <w:tc>
          <w:tcPr>
            <w:gridSpan w:val="3"/>
            <w:tcW w:w="2177"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6"/>
            <w:tcW w:w="698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tcW w:w="1324"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38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W w:w="143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产品或经营内容</w:t>
            </w:r>
            <w:r/>
          </w:p>
        </w:tc>
        <w:tc>
          <w:tcPr>
            <w:gridSpan w:val="3"/>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1333" w:type="dxa"/>
            <w:vAlign w:val="center"/>
            <w:textDirection w:val="lrTb"/>
            <w:noWrap w:val="false"/>
          </w:tcPr>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W w:w="81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其它</w:t>
            </w:r>
            <w:r/>
          </w:p>
        </w:tc>
        <w:tc>
          <w:tcPr>
            <w:gridSpan w:val="5"/>
            <w:tcW w:w="4206"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招标人或采购代理机构发现，或被它人举证成立，其投标资格将被取消）。</w:t>
            </w:r>
            <w:r/>
          </w:p>
        </w:tc>
        <w:tc>
          <w:tcPr>
            <w:gridSpan w:val="3"/>
            <w:tcW w:w="4142"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W w:w="42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color w:val="auto"/>
          <w:sz w:val="32"/>
          <w:szCs w:val="32"/>
          <w:highlight w:val="none"/>
        </w:rPr>
        <w:outlineLvl w:val="1"/>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rPr>
        <w:t xml:space="preserve">2</w:t>
      </w:r>
      <w:r/>
    </w:p>
    <w:p>
      <w:pPr>
        <w:jc w:val="center"/>
        <w:rPr>
          <w:rFonts w:ascii="宋体" w:hAnsi="宋体" w:cs="宋体"/>
          <w:b/>
          <w:bCs/>
          <w:color w:val="auto"/>
          <w:sz w:val="36"/>
          <w:szCs w:val="44"/>
          <w:highlight w:val="none"/>
          <w:lang w:val="zh-CN"/>
        </w:rPr>
      </w:pPr>
      <w:r>
        <w:rPr>
          <w:rFonts w:hint="eastAsia" w:ascii="宋体" w:hAnsi="宋体" w:cs="宋体"/>
          <w:b/>
          <w:bCs/>
          <w:color w:val="auto"/>
          <w:sz w:val="36"/>
          <w:szCs w:val="44"/>
          <w:highlight w:val="none"/>
          <w:lang w:val="zh-CN"/>
        </w:rPr>
        <w:t xml:space="preserve">报价</w:t>
      </w:r>
      <w:r>
        <w:rPr>
          <w:rFonts w:hint="eastAsia" w:ascii="宋体" w:hAnsi="宋体" w:cs="宋体"/>
          <w:b/>
          <w:bCs/>
          <w:color w:val="auto"/>
          <w:sz w:val="36"/>
          <w:szCs w:val="44"/>
          <w:highlight w:val="none"/>
        </w:rPr>
        <w:t xml:space="preserve">明细表</w:t>
      </w:r>
      <w:r/>
    </w:p>
    <w:tbl>
      <w:tblPr>
        <w:tblStyle w:val="836"/>
        <w:tblW w:w="98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81"/>
        <w:gridCol w:w="2385"/>
        <w:gridCol w:w="1365"/>
        <w:gridCol w:w="1050"/>
        <w:gridCol w:w="1695"/>
        <w:gridCol w:w="1605"/>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3</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4</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5</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分项服务名称</w:t>
            </w:r>
            <w:r/>
          </w:p>
        </w:tc>
        <w:tc>
          <w:tcPr>
            <w:tcW w:w="2385" w:type="dxa"/>
            <w:vAlign w:val="center"/>
            <w:textDirection w:val="lrTb"/>
            <w:noWrap w:val="false"/>
          </w:tcPr>
          <w:p>
            <w:pPr>
              <w:jc w:val="center"/>
              <w:spacing w:line="0" w:lineRule="atLeas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服务期</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分项单位</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数量</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单价</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487"/>
        </w:trPr>
        <w:tc>
          <w:tcPr>
            <w:gridSpan w:val="6"/>
            <w:tcW w:w="8232"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投标总报价（人民币：元）</w:t>
            </w:r>
            <w:r/>
          </w:p>
        </w:tc>
        <w:tc>
          <w:tcPr>
            <w:tcW w:w="1605" w:type="dxa"/>
            <w:vAlign w:val="top"/>
            <w:textDirection w:val="lrTb"/>
            <w:noWrap w:val="false"/>
          </w:tcPr>
          <w:p>
            <w:pP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bl>
    <w:p>
      <w:pPr>
        <w:spacing w:line="0" w:lineRule="atLeast"/>
        <w:rPr>
          <w:rFonts w:ascii="宋体" w:hAnsi="宋体"/>
          <w:color w:val="auto"/>
          <w:sz w:val="28"/>
          <w:szCs w:val="28"/>
          <w:highlight w:val="none"/>
        </w:rPr>
      </w:pPr>
      <w:r>
        <w:rPr>
          <w:rFonts w:hint="eastAsia" w:ascii="宋体" w:hAnsi="宋体"/>
          <w:color w:val="auto"/>
          <w:sz w:val="28"/>
          <w:szCs w:val="28"/>
          <w:highlight w:val="none"/>
        </w:rPr>
        <w:t xml:space="preserve">备注：</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1.包括人员工资（含社保险、人员意外险）、劳护用品、船舶燃油费、船舶设施、日常维护保养、船舶险、管理费、税金以及其他费用等。合同期内，除因考核扣减费用外，合同金额不变，投标人应充分考虑成本变动因素，自负盈亏。</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2.“投标分项报价表”中“投标总报价”数额应当与“开标一览表”中“投标总报价”数额一致。</w:t>
      </w:r>
      <w:r/>
    </w:p>
    <w:p>
      <w:pPr>
        <w:spacing w:line="240" w:lineRule="atLeast"/>
        <w:rPr>
          <w:rFonts w:ascii="宋体" w:hAnsi="宋体" w:cs="宋体"/>
          <w:bCs/>
          <w:color w:val="auto"/>
          <w:sz w:val="22"/>
          <w:szCs w:val="22"/>
          <w:highlight w:val="none"/>
        </w:rPr>
      </w:pPr>
      <w:r>
        <w:rPr>
          <w:rFonts w:ascii="宋体" w:hAnsi="宋体" w:cs="宋体"/>
          <w:bCs/>
          <w:color w:val="auto"/>
          <w:sz w:val="22"/>
          <w:szCs w:val="22"/>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spacing w:line="50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center"/>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                                       投标人名称（加盖ca电子签章）：</w:t>
      </w:r>
      <w:r/>
    </w:p>
    <w:p>
      <w:pPr>
        <w:jc w:val="right"/>
        <w:spacing w:line="46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left"/>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                      </w:t>
      </w:r>
      <w:r>
        <w:rPr>
          <w:rFonts w:hint="eastAsia" w:ascii="宋体" w:hAnsi="宋体" w:cs="宋体"/>
          <w:bCs/>
          <w:color w:val="auto"/>
          <w:sz w:val="28"/>
          <w:szCs w:val="22"/>
          <w:highlight w:val="none"/>
          <w:lang w:val="en-US" w:eastAsia="zh-CN"/>
        </w:rPr>
        <w:t xml:space="preserve">                 </w:t>
      </w:r>
      <w:r>
        <w:rPr>
          <w:rFonts w:hint="eastAsia" w:ascii="宋体" w:hAnsi="宋体" w:cs="宋体"/>
          <w:bCs/>
          <w:color w:val="auto"/>
          <w:sz w:val="28"/>
          <w:szCs w:val="22"/>
          <w:highlight w:val="none"/>
        </w:rPr>
        <w:t xml:space="preserve">日期：</w:t>
      </w:r>
      <w:r>
        <w:rPr>
          <w:rFonts w:hint="eastAsia" w:ascii="宋体" w:hAnsi="宋体" w:cs="宋体"/>
          <w:bCs/>
          <w:color w:val="auto"/>
          <w:sz w:val="28"/>
          <w:szCs w:val="22"/>
          <w:highlight w:val="none"/>
          <w:lang w:val="en-US" w:eastAsia="zh-CN"/>
        </w:rPr>
        <w:t xml:space="preserve">  </w:t>
      </w:r>
      <w:r>
        <w:rPr>
          <w:rFonts w:hint="eastAsia" w:ascii="宋体" w:hAnsi="宋体" w:cs="宋体"/>
          <w:bCs/>
          <w:color w:val="auto"/>
          <w:sz w:val="28"/>
          <w:szCs w:val="22"/>
          <w:highlight w:val="none"/>
        </w:rPr>
        <w:t xml:space="preserve">年</w:t>
      </w:r>
      <w:r>
        <w:rPr>
          <w:rFonts w:hint="eastAsia" w:ascii="宋体" w:hAnsi="宋体" w:cs="宋体"/>
          <w:bCs/>
          <w:color w:val="auto"/>
          <w:sz w:val="28"/>
          <w:szCs w:val="22"/>
          <w:highlight w:val="none"/>
          <w:lang w:val="en-US" w:eastAsia="zh-CN"/>
        </w:rPr>
        <w:t xml:space="preserve">   </w:t>
      </w:r>
      <w:r>
        <w:rPr>
          <w:rFonts w:hint="eastAsia" w:ascii="宋体" w:hAnsi="宋体" w:cs="宋体"/>
          <w:bCs/>
          <w:color w:val="auto"/>
          <w:sz w:val="28"/>
          <w:szCs w:val="22"/>
          <w:highlight w:val="none"/>
        </w:rPr>
        <w:t xml:space="preserve">月</w:t>
      </w:r>
      <w:r>
        <w:rPr>
          <w:rFonts w:hint="eastAsia" w:ascii="宋体" w:hAnsi="宋体" w:cs="宋体"/>
          <w:bCs/>
          <w:color w:val="auto"/>
          <w:sz w:val="28"/>
          <w:szCs w:val="22"/>
          <w:highlight w:val="none"/>
          <w:lang w:val="en-US" w:eastAsia="zh-CN"/>
        </w:rPr>
        <w:t xml:space="preserve">    </w:t>
      </w:r>
      <w:r>
        <w:rPr>
          <w:rFonts w:hint="eastAsia" w:ascii="宋体" w:hAnsi="宋体" w:cs="宋体"/>
          <w:bCs/>
          <w:color w:val="auto"/>
          <w:sz w:val="28"/>
          <w:szCs w:val="22"/>
          <w:highlight w:val="none"/>
        </w:rPr>
        <w:t xml:space="preserve">日</w:t>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contextualSpacing/>
        <w:ind w:firstLine="560"/>
        <w:spacing w:line="460" w:lineRule="exact"/>
        <w:tabs>
          <w:tab w:val="left" w:pos="1260" w:leader="none"/>
        </w:tabs>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附件3</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firstLine="562"/>
        <w:spacing w:line="460" w:lineRule="exact"/>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contextualSpacing/>
        <w:ind w:firstLine="600"/>
        <w:spacing w:line="460" w:lineRule="exact"/>
        <w:tabs>
          <w:tab w:val="left" w:pos="1260" w:leader="none"/>
        </w:tabs>
        <w:rPr>
          <w:rFonts w:hint="eastAsia" w:ascii="宋体" w:hAnsi="宋体" w:cs="宋体"/>
          <w:bCs/>
          <w:color w:val="auto"/>
          <w:sz w:val="30"/>
          <w:szCs w:val="30"/>
          <w:highlight w:val="none"/>
        </w:rPr>
        <w:sectPr>
          <w:footnotePr/>
          <w:endnotePr/>
          <w:type w:val="nextPage"/>
          <w:pgSz w:w="11907" w:h="16839" w:orient="portrait"/>
          <w:pgMar w:top="1440" w:right="1080" w:bottom="1440" w:left="1080" w:header="720" w:footer="720" w:gutter="0"/>
          <w:cols w:num="1" w:sep="0" w:space="720" w:equalWidth="1"/>
          <w:docGrid w:linePitch="360"/>
        </w:sectPr>
      </w:pPr>
      <w:r>
        <w:rPr>
          <w:rFonts w:hint="eastAsia" w:ascii="宋体" w:hAnsi="宋体" w:cs="宋体"/>
          <w:bCs/>
          <w:color w:val="auto"/>
          <w:sz w:val="30"/>
          <w:szCs w:val="30"/>
          <w:highlight w:val="none"/>
        </w:rPr>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附件</w:t>
      </w:r>
      <w:r>
        <w:rPr>
          <w:rFonts w:hint="eastAsia" w:ascii="宋体" w:hAnsi="宋体" w:cs="宋体"/>
          <w:bCs/>
          <w:color w:val="auto"/>
          <w:sz w:val="30"/>
          <w:szCs w:val="30"/>
          <w:highlight w:val="none"/>
          <w:lang w:val="en-US" w:eastAsia="zh-CN"/>
        </w:rPr>
        <w:t xml:space="preserve">4</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1.我单位具有独立承担民事责任的能力；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ind w:firstLine="482"/>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cente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承诺人名称（加盖ca电子签章）：</w:t>
      </w:r>
      <w:r/>
    </w:p>
    <w:p>
      <w:pPr>
        <w:jc w:val="right"/>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年月日</w:t>
      </w:r>
      <w:r/>
    </w:p>
    <w:p>
      <w:pPr>
        <w:rPr>
          <w:rFonts w:ascii="宋体" w:hAnsi="宋体" w:cs="宋体"/>
          <w:color w:val="auto"/>
          <w:szCs w:val="21"/>
          <w:highlight w:val="none"/>
        </w:rPr>
      </w:pPr>
      <w:r>
        <w:rPr>
          <w:rFonts w:ascii="宋体" w:hAnsi="宋体" w:cs="宋体"/>
          <w:color w:val="auto"/>
          <w:szCs w:val="21"/>
          <w:highlight w:val="none"/>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pStyle w:val="1140"/>
        <w:jc w:val="center"/>
        <w:spacing w:line="560" w:lineRule="exact"/>
        <w:rPr>
          <w:rFonts w:ascii="宋体" w:hAnsi="宋体" w:cs="宋体"/>
          <w:b/>
          <w:bCs/>
          <w:color w:val="auto"/>
          <w:sz w:val="36"/>
          <w:szCs w:val="36"/>
          <w:highlight w:val="none"/>
        </w:rPr>
        <w:outlineLvl w:val="1"/>
      </w:pPr>
      <w:r>
        <w:rPr>
          <w:rFonts w:hint="eastAsia" w:ascii="宋体" w:hAnsi="宋体" w:cs="宋体"/>
          <w:b/>
          <w:bCs/>
          <w:color w:val="auto"/>
          <w:sz w:val="36"/>
          <w:szCs w:val="36"/>
          <w:highlight w:val="none"/>
        </w:rPr>
        <w:t xml:space="preserve">法定代表人身份证明</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1195"/>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先生/女士现任我单位</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职务，为法定代表人，特此证明。</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身份证号码：</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139"/>
        <w:spacing w:line="6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2"/>
          <w:szCs w:val="28"/>
          <w:highlight w:val="none"/>
        </w:rPr>
      </w:pPr>
      <w:r>
        <w:rPr>
          <w:rFonts w:ascii="宋体" w:hAnsi="宋体" w:cs="宋体"/>
          <w:color w:val="auto"/>
          <w:sz w:val="22"/>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contextualSpacing/>
        <w:ind w:firstLine="540"/>
        <w:spacing w:line="400" w:lineRule="exact"/>
        <w:rPr>
          <w:rFonts w:ascii="宋体" w:hAnsi="宋体" w:cs="宋体"/>
          <w:b/>
          <w:color w:val="auto"/>
          <w:sz w:val="28"/>
          <w:szCs w:val="28"/>
          <w:highlight w:val="none"/>
        </w:rPr>
        <w:sectPr>
          <w:footnotePr/>
          <w:endnotePr/>
          <w:type w:val="nextPage"/>
          <w:pgSz w:w="11907" w:h="16839" w:orient="portrait"/>
          <w:pgMar w:top="1440" w:right="1080" w:bottom="1440" w:left="1080" w:header="720" w:footer="720" w:gutter="0"/>
          <w:cols w:num="1" w:sep="0" w:space="720" w:equalWidth="1"/>
          <w:docGrid w:linePitch="360"/>
        </w:sectPr>
      </w:pPr>
      <w:r>
        <w:rPr>
          <w:rFonts w:ascii="宋体" w:hAnsi="宋体" w:cs="宋体"/>
          <w:b/>
          <w:color w:val="auto"/>
          <w:sz w:val="28"/>
          <w:szCs w:val="28"/>
          <w:highlight w:val="none"/>
        </w:rPr>
      </w:r>
      <w:r/>
    </w:p>
    <w:p>
      <w:pPr>
        <w:rPr>
          <w:rFonts w:hint="eastAsia" w:ascii="宋体" w:hAnsi="宋体" w:eastAsia="宋体" w:cs="宋体"/>
          <w:color w:val="auto"/>
          <w:sz w:val="32"/>
          <w:szCs w:val="32"/>
          <w:highlight w:val="none"/>
          <w:lang w:val="zh-CN" w:eastAsia="zh-CN"/>
        </w:rPr>
        <w:outlineLvl w:val="1"/>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中小企业声明函（服务）</w:t>
      </w:r>
      <w:r/>
    </w:p>
    <w:p>
      <w:pPr>
        <w:pStyle w:val="1172"/>
        <w:ind w:right="415" w:firstLine="64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本公司郑重声明，根据《政府采购促进中小企业发展管理办法》（财库﹝2020﹞46 号）的规定，本公司参加</w:t>
      </w:r>
      <w:r>
        <w:rPr>
          <w:rFonts w:hint="eastAsia" w:ascii="宋体" w:hAnsi="宋体" w:cs="宋体"/>
          <w:i/>
          <w:color w:val="auto"/>
          <w:szCs w:val="28"/>
          <w:highlight w:val="none"/>
          <w:u w:val="single"/>
        </w:rPr>
        <w:t xml:space="preserve">（单位名称）</w:t>
      </w:r>
      <w:r>
        <w:rPr>
          <w:rFonts w:hint="eastAsia" w:ascii="宋体" w:hAnsi="宋体" w:cs="宋体"/>
          <w:color w:val="auto"/>
          <w:szCs w:val="28"/>
          <w:highlight w:val="none"/>
        </w:rPr>
        <w:t xml:space="preserve">的</w:t>
      </w:r>
      <w:r>
        <w:rPr>
          <w:rFonts w:hint="eastAsia" w:ascii="宋体" w:hAnsi="宋体" w:cs="宋体"/>
          <w:i/>
          <w:color w:val="auto"/>
          <w:szCs w:val="28"/>
          <w:highlight w:val="none"/>
          <w:u w:val="single"/>
        </w:rPr>
        <w:t xml:space="preserve">（项目名称）</w:t>
      </w:r>
      <w:r>
        <w:rPr>
          <w:rFonts w:hint="eastAsia" w:ascii="宋体" w:hAnsi="宋体" w:cs="宋体"/>
          <w:color w:val="auto"/>
          <w:szCs w:val="28"/>
          <w:highlight w:val="none"/>
        </w:rPr>
        <w:t xml:space="preserve">采购活动，服务全部由符合政策要求的中小企业承接。相关企业的具体情况如下：</w:t>
      </w:r>
      <w:r/>
    </w:p>
    <w:p>
      <w:pPr>
        <w:pStyle w:val="1089"/>
        <w:numPr>
          <w:ilvl w:val="0"/>
          <w:numId w:val="3"/>
        </w:numPr>
        <w:ind w:firstLine="560"/>
        <w:spacing w:line="520" w:lineRule="exact"/>
        <w:tabs>
          <w:tab w:val="left" w:pos="1183" w:leader="none"/>
          <w:tab w:val="left" w:pos="1484" w:leader="none"/>
          <w:tab w:val="left" w:pos="4662" w:leader="none"/>
          <w:tab w:val="left" w:pos="6903" w:leader="none"/>
        </w:tabs>
        <w:rPr>
          <w:rFonts w:ascii="宋体" w:hAnsi="宋体" w:cs="宋体"/>
          <w:i/>
          <w:color w:val="auto"/>
          <w:sz w:val="28"/>
          <w:szCs w:val="28"/>
          <w:highlight w:val="none"/>
          <w:u w:val="single"/>
        </w:rPr>
      </w:pPr>
      <w:r>
        <w:rPr>
          <w:rFonts w:hint="eastAsia" w:ascii="宋体" w:hAnsi="宋体" w:cs="宋体"/>
          <w:i/>
          <w:color w:val="auto"/>
          <w:sz w:val="28"/>
          <w:szCs w:val="28"/>
          <w:highlight w:val="none"/>
          <w:u w:val="single"/>
        </w:rPr>
        <w:t xml:space="preserve"> （标的名称）</w:t>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rPr>
        <w:t xml:space="preserve">（</w:t>
      </w:r>
      <w:r>
        <w:rPr>
          <w:rFonts w:hint="eastAsia" w:ascii="宋体" w:hAnsi="宋体" w:cs="宋体"/>
          <w:i/>
          <w:color w:val="auto"/>
          <w:spacing w:val="-20"/>
          <w:sz w:val="28"/>
          <w:szCs w:val="28"/>
          <w:highlight w:val="none"/>
          <w:u w:val="single"/>
        </w:rPr>
        <w:t xml:space="preserve">采购文件中明确的所属行业</w:t>
      </w:r>
      <w:r>
        <w:rPr>
          <w:rFonts w:hint="eastAsia" w:ascii="宋体" w:hAnsi="宋体" w:cs="宋体"/>
          <w:i/>
          <w:color w:val="auto"/>
          <w:sz w:val="28"/>
          <w:szCs w:val="28"/>
          <w:highlight w:val="none"/>
          <w:u w:val="single"/>
        </w:rPr>
        <w:t xml:space="preserve">）行业</w:t>
      </w:r>
      <w:r>
        <w:rPr>
          <w:rFonts w:hint="eastAsia" w:ascii="宋体" w:hAnsi="宋体" w:cs="宋体"/>
          <w:color w:val="auto"/>
          <w:sz w:val="28"/>
          <w:szCs w:val="28"/>
          <w:highlight w:val="none"/>
        </w:rPr>
        <w:t xml:space="preserve">；承接企业为</w:t>
      </w:r>
      <w:r>
        <w:rPr>
          <w:rFonts w:hint="eastAsia" w:ascii="宋体" w:hAnsi="宋体" w:cs="宋体"/>
          <w:i/>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人，营业收入为万元，资产总额为万元</w:t>
      </w:r>
      <w:r>
        <w:rPr>
          <w:color w:val="auto"/>
          <w:highlight w:val="none"/>
        </w:rPr>
        <w:fldChar w:fldCharType="begin"/>
      </w:r>
      <w:r>
        <w:rPr>
          <w:color w:val="auto"/>
          <w:highlight w:val="none"/>
        </w:rPr>
        <w:instrText xml:space="preserve"> HYPERLINK \l "_bookmark0" \o "#_bookmark0" </w:instrText>
      </w:r>
      <w:r>
        <w:rPr>
          <w:color w:val="auto"/>
          <w:highlight w:val="none"/>
        </w:rPr>
        <w:fldChar w:fldCharType="separate"/>
      </w:r>
      <w:r>
        <w:rPr>
          <w:rFonts w:hint="eastAsia" w:ascii="宋体" w:hAnsi="宋体" w:cs="宋体"/>
          <w:color w:val="auto"/>
          <w:position w:val="16"/>
          <w:sz w:val="28"/>
          <w:szCs w:val="28"/>
          <w:highlight w:val="none"/>
        </w:rPr>
        <w:t xml:space="preserve">1</w:t>
      </w:r>
      <w:r>
        <w:rPr>
          <w:rFonts w:hint="eastAsia" w:ascii="宋体" w:hAnsi="宋体" w:cs="宋体"/>
          <w:color w:val="auto"/>
          <w:position w:val="16"/>
          <w:sz w:val="28"/>
          <w:szCs w:val="28"/>
          <w:highlight w:val="none"/>
        </w:rPr>
        <w:fldChar w:fldCharType="end"/>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pStyle w:val="1172"/>
        <w:ind w:left="86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w:t>
      </w:r>
      <w:r/>
    </w:p>
    <w:p>
      <w:pPr>
        <w:pStyle w:val="1172"/>
        <w:ind w:right="417" w:firstLine="645"/>
        <w:spacing w:before="105" w:line="520" w:lineRule="exact"/>
        <w:rPr>
          <w:rFonts w:ascii="宋体" w:hAnsi="宋体" w:cs="宋体"/>
          <w:color w:val="auto"/>
          <w:spacing w:val="-3"/>
          <w:szCs w:val="28"/>
          <w:highlight w:val="none"/>
        </w:rPr>
      </w:pPr>
      <w:r>
        <w:rPr>
          <w:rFonts w:hint="eastAsia" w:ascii="宋体" w:hAnsi="宋体" w:cs="宋体"/>
          <w:color w:val="auto"/>
          <w:spacing w:val="-3"/>
          <w:szCs w:val="28"/>
          <w:highlight w:val="none"/>
        </w:rPr>
        <w:t xml:space="preserve">以上企业，不属于大企业的分支机构，不存在控股股东</w:t>
      </w:r>
      <w:r>
        <w:rPr>
          <w:rFonts w:hint="eastAsia" w:ascii="宋体" w:hAnsi="宋体" w:cs="宋体"/>
          <w:color w:val="auto"/>
          <w:spacing w:val="-5"/>
          <w:szCs w:val="28"/>
          <w:highlight w:val="none"/>
        </w:rPr>
        <w:t xml:space="preserve">为大企业的情形，也不存在与大企业的负责人为同一人的情形。</w:t>
      </w:r>
      <w:r/>
    </w:p>
    <w:p>
      <w:pPr>
        <w:pStyle w:val="1172"/>
        <w:ind w:right="420" w:firstLine="645"/>
        <w:spacing w:line="520" w:lineRule="exact"/>
        <w:rPr>
          <w:rFonts w:ascii="宋体" w:hAnsi="宋体" w:cs="宋体"/>
          <w:color w:val="auto"/>
          <w:spacing w:val="-2"/>
          <w:szCs w:val="28"/>
          <w:highlight w:val="none"/>
        </w:rPr>
      </w:pPr>
      <w:r>
        <w:rPr>
          <w:rFonts w:hint="eastAsia" w:ascii="宋体" w:hAnsi="宋体" w:cs="宋体"/>
          <w:color w:val="auto"/>
          <w:spacing w:val="-2"/>
          <w:szCs w:val="28"/>
          <w:highlight w:val="none"/>
        </w:rPr>
        <w:t xml:space="preserve">本企业对上述声明内容的真实性负责。如有虚假，将依法承担相应责任。</w:t>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8</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（备注：1、投标人如不提供此声明函，价格将不做相应扣除。2、中标投标人为残疾人福利单位的，此声明函将随中标结果同时公告，接受社会监督）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 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一、质疑投标人基本信息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w:t>
                          </w:r>
                          <w:r/>
                        </w:p>
                        <w:p>
                          <w:r/>
                          <w:r/>
                        </w:p>
                        <w:p>
                          <w:r/>
                          <w:r/>
                        </w:p>
                      </w:txbxContent>
                    </wps:txbx>
                    <wps:bodyPr vert="horz" lIns="0" tIns="0" rIns="0" bIns="0" anchor="t" anchorCtr="0" upright="1"/>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66"/>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r/>
                          <w:r/>
                        </w:p>
                      </w:txbxContent>
                    </wps:txbx>
                    <wps:bodyPr vert="horz" lIns="0" tIns="0" rIns="0" bIns="0" anchor="t" anchorCtr="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6"/>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isLgl w:val="false"/>
      <w:suff w:val="tab"/>
      <w:lvlText w:val="%1."/>
      <w:lvlJc w:val="left"/>
      <w:pPr>
        <w:ind w:left="205" w:hanging="322"/>
      </w:pPr>
      <w:rPr>
        <w:rFonts w:ascii="仿宋" w:hAnsi="仿宋" w:eastAsia="仿宋"/>
        <w:spacing w:val="-46"/>
        <w:sz w:val="30"/>
        <w:szCs w:val="30"/>
      </w:rPr>
    </w:lvl>
    <w:lvl w:ilvl="1">
      <w:start w:val="1"/>
      <w:numFmt w:val="bullet"/>
      <w:isLgl w:val="false"/>
      <w:suff w:val="tab"/>
      <w:lvlText w:val="•"/>
      <w:lvlJc w:val="left"/>
      <w:pPr>
        <w:ind w:left="1074" w:hanging="322"/>
      </w:pPr>
    </w:lvl>
    <w:lvl w:ilvl="2">
      <w:start w:val="1"/>
      <w:numFmt w:val="bullet"/>
      <w:isLgl w:val="false"/>
      <w:suff w:val="tab"/>
      <w:lvlText w:val="•"/>
      <w:lvlJc w:val="left"/>
      <w:pPr>
        <w:ind w:left="1949" w:hanging="322"/>
      </w:pPr>
    </w:lvl>
    <w:lvl w:ilvl="3">
      <w:start w:val="1"/>
      <w:numFmt w:val="bullet"/>
      <w:isLgl w:val="false"/>
      <w:suff w:val="tab"/>
      <w:lvlText w:val="•"/>
      <w:lvlJc w:val="left"/>
      <w:pPr>
        <w:ind w:left="2823" w:hanging="322"/>
      </w:pPr>
    </w:lvl>
    <w:lvl w:ilvl="4">
      <w:start w:val="1"/>
      <w:numFmt w:val="bullet"/>
      <w:isLgl w:val="false"/>
      <w:suff w:val="tab"/>
      <w:lvlText w:val="•"/>
      <w:lvlJc w:val="left"/>
      <w:pPr>
        <w:ind w:left="3698" w:hanging="322"/>
      </w:pPr>
    </w:lvl>
    <w:lvl w:ilvl="5">
      <w:start w:val="1"/>
      <w:numFmt w:val="bullet"/>
      <w:isLgl w:val="false"/>
      <w:suff w:val="tab"/>
      <w:lvlText w:val="•"/>
      <w:lvlJc w:val="left"/>
      <w:pPr>
        <w:ind w:left="4573" w:hanging="322"/>
      </w:pPr>
    </w:lvl>
    <w:lvl w:ilvl="6">
      <w:start w:val="1"/>
      <w:numFmt w:val="bullet"/>
      <w:isLgl w:val="false"/>
      <w:suff w:val="tab"/>
      <w:lvlText w:val="•"/>
      <w:lvlJc w:val="left"/>
      <w:pPr>
        <w:ind w:left="5447" w:hanging="322"/>
      </w:pPr>
    </w:lvl>
    <w:lvl w:ilvl="7">
      <w:start w:val="1"/>
      <w:numFmt w:val="bullet"/>
      <w:isLgl w:val="false"/>
      <w:suff w:val="tab"/>
      <w:lvlText w:val="•"/>
      <w:lvlJc w:val="left"/>
      <w:pPr>
        <w:ind w:left="6322" w:hanging="322"/>
      </w:pPr>
    </w:lvl>
    <w:lvl w:ilvl="8">
      <w:start w:val="1"/>
      <w:numFmt w:val="bullet"/>
      <w:isLgl w:val="false"/>
      <w:suff w:val="tab"/>
      <w:lvlText w:val="•"/>
      <w:lvlJc w:val="left"/>
      <w:pPr>
        <w:ind w:left="7196" w:hanging="322"/>
      </w:pPr>
    </w:lvl>
  </w:abstractNum>
  <w:abstractNum w:abstractNumId="2">
    <w:multiLevelType w:val="hybridMultilevel"/>
    <w:lvl w:ilvl="0">
      <w:start w:val="1"/>
      <w:numFmt w:val="decimal"/>
      <w:isLgl w:val="false"/>
      <w:suff w:val="tab"/>
      <w:lvlText w:val="(%1)"/>
      <w:lvlJc w:val="left"/>
      <w:pPr>
        <w:ind w:left="840" w:hanging="360"/>
        <w:tabs>
          <w:tab w:val="left" w:pos="840" w:leader="none"/>
        </w:tabs>
      </w:pPr>
      <w:rPr>
        <w:rFonts w:hint="eastAsia"/>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5"/>
    <w:link w:val="826"/>
    <w:uiPriority w:val="9"/>
    <w:rPr>
      <w:rFonts w:ascii="Arial" w:hAnsi="Arial" w:eastAsia="Arial" w:cs="Arial"/>
      <w:sz w:val="40"/>
      <w:szCs w:val="40"/>
    </w:rPr>
  </w:style>
  <w:style w:type="character" w:styleId="791">
    <w:name w:val="Heading 2 Char"/>
    <w:basedOn w:val="835"/>
    <w:link w:val="827"/>
    <w:uiPriority w:val="9"/>
    <w:rPr>
      <w:rFonts w:ascii="Arial" w:hAnsi="Arial" w:eastAsia="Arial" w:cs="Arial"/>
      <w:sz w:val="34"/>
    </w:rPr>
  </w:style>
  <w:style w:type="character" w:styleId="792">
    <w:name w:val="Heading 3 Char"/>
    <w:basedOn w:val="835"/>
    <w:link w:val="828"/>
    <w:uiPriority w:val="9"/>
    <w:rPr>
      <w:rFonts w:ascii="Arial" w:hAnsi="Arial" w:eastAsia="Arial" w:cs="Arial"/>
      <w:sz w:val="30"/>
      <w:szCs w:val="30"/>
    </w:rPr>
  </w:style>
  <w:style w:type="character" w:styleId="793">
    <w:name w:val="Heading 4 Char"/>
    <w:basedOn w:val="835"/>
    <w:link w:val="829"/>
    <w:uiPriority w:val="9"/>
    <w:rPr>
      <w:rFonts w:ascii="Arial" w:hAnsi="Arial" w:eastAsia="Arial" w:cs="Arial"/>
      <w:b/>
      <w:bCs/>
      <w:sz w:val="26"/>
      <w:szCs w:val="26"/>
    </w:rPr>
  </w:style>
  <w:style w:type="character" w:styleId="794">
    <w:name w:val="Heading 5 Char"/>
    <w:basedOn w:val="835"/>
    <w:link w:val="830"/>
    <w:uiPriority w:val="9"/>
    <w:rPr>
      <w:rFonts w:ascii="Arial" w:hAnsi="Arial" w:eastAsia="Arial" w:cs="Arial"/>
      <w:b/>
      <w:bCs/>
      <w:sz w:val="24"/>
      <w:szCs w:val="24"/>
    </w:rPr>
  </w:style>
  <w:style w:type="character" w:styleId="795">
    <w:name w:val="Heading 6 Char"/>
    <w:basedOn w:val="835"/>
    <w:link w:val="831"/>
    <w:uiPriority w:val="9"/>
    <w:rPr>
      <w:rFonts w:ascii="Arial" w:hAnsi="Arial" w:eastAsia="Arial" w:cs="Arial"/>
      <w:b/>
      <w:bCs/>
      <w:sz w:val="22"/>
      <w:szCs w:val="22"/>
    </w:rPr>
  </w:style>
  <w:style w:type="character" w:styleId="796">
    <w:name w:val="Heading 7 Char"/>
    <w:basedOn w:val="835"/>
    <w:link w:val="832"/>
    <w:uiPriority w:val="9"/>
    <w:rPr>
      <w:rFonts w:ascii="Arial" w:hAnsi="Arial" w:eastAsia="Arial" w:cs="Arial"/>
      <w:b/>
      <w:bCs/>
      <w:i/>
      <w:iCs/>
      <w:sz w:val="22"/>
      <w:szCs w:val="22"/>
    </w:rPr>
  </w:style>
  <w:style w:type="character" w:styleId="797">
    <w:name w:val="Heading 8 Char"/>
    <w:basedOn w:val="835"/>
    <w:link w:val="833"/>
    <w:uiPriority w:val="9"/>
    <w:rPr>
      <w:rFonts w:ascii="Arial" w:hAnsi="Arial" w:eastAsia="Arial" w:cs="Arial"/>
      <w:i/>
      <w:iCs/>
      <w:sz w:val="22"/>
      <w:szCs w:val="22"/>
    </w:rPr>
  </w:style>
  <w:style w:type="character" w:styleId="798">
    <w:name w:val="Heading 9 Char"/>
    <w:basedOn w:val="835"/>
    <w:link w:val="834"/>
    <w:uiPriority w:val="9"/>
    <w:rPr>
      <w:rFonts w:ascii="Arial" w:hAnsi="Arial" w:eastAsia="Arial" w:cs="Arial"/>
      <w:i/>
      <w:iCs/>
      <w:sz w:val="21"/>
      <w:szCs w:val="21"/>
    </w:rPr>
  </w:style>
  <w:style w:type="character" w:styleId="799">
    <w:name w:val="Title Char"/>
    <w:basedOn w:val="835"/>
    <w:link w:val="859"/>
    <w:uiPriority w:val="10"/>
    <w:rPr>
      <w:sz w:val="48"/>
      <w:szCs w:val="48"/>
    </w:rPr>
  </w:style>
  <w:style w:type="character" w:styleId="800">
    <w:name w:val="Subtitle Char"/>
    <w:basedOn w:val="835"/>
    <w:link w:val="852"/>
    <w:uiPriority w:val="11"/>
    <w:rPr>
      <w:sz w:val="24"/>
      <w:szCs w:val="24"/>
    </w:rPr>
  </w:style>
  <w:style w:type="character" w:styleId="801">
    <w:name w:val="Quote Char"/>
    <w:link w:val="887"/>
    <w:uiPriority w:val="29"/>
    <w:rPr>
      <w:i/>
    </w:rPr>
  </w:style>
  <w:style w:type="character" w:styleId="802">
    <w:name w:val="Intense Quote Char"/>
    <w:link w:val="889"/>
    <w:uiPriority w:val="30"/>
    <w:rPr>
      <w:i/>
    </w:rPr>
  </w:style>
  <w:style w:type="table" w:styleId="803">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Footnote Text Char"/>
    <w:link w:val="853"/>
    <w:uiPriority w:val="99"/>
    <w:rPr>
      <w:sz w:val="18"/>
    </w:rPr>
  </w:style>
  <w:style w:type="character" w:styleId="823">
    <w:name w:val="Endnote Text Char"/>
    <w:link w:val="846"/>
    <w:uiPriority w:val="99"/>
    <w:rPr>
      <w:sz w:val="20"/>
    </w:rPr>
  </w:style>
  <w:style w:type="paragraph" w:styleId="824">
    <w:name w:val="TOC Heading"/>
    <w:uiPriority w:val="39"/>
    <w:unhideWhenUsed/>
  </w:style>
  <w:style w:type="paragraph" w:styleId="8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6">
    <w:name w:val="Heading 1"/>
    <w:basedOn w:val="825"/>
    <w:next w:val="825"/>
    <w:link w:val="874"/>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75"/>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76"/>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77"/>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78"/>
    <w:uiPriority w:val="9"/>
    <w:unhideWhenUsed/>
    <w:qFormat/>
    <w:pPr>
      <w:keepLines/>
      <w:keepNext/>
      <w:spacing w:before="320" w:after="200"/>
      <w:outlineLvl w:val="4"/>
    </w:pPr>
    <w:rPr>
      <w:rFonts w:ascii="Arial" w:hAnsi="Arial" w:eastAsia="Arial" w:cs="Arial"/>
      <w:b/>
      <w:bCs/>
      <w:sz w:val="24"/>
    </w:rPr>
  </w:style>
  <w:style w:type="paragraph" w:styleId="831">
    <w:name w:val="Heading 6"/>
    <w:basedOn w:val="825"/>
    <w:next w:val="825"/>
    <w:link w:val="879"/>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81"/>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82"/>
    <w:uiPriority w:val="9"/>
    <w:unhideWhenUsed/>
    <w:qFormat/>
    <w:pPr>
      <w:keepLines/>
      <w:keepNext/>
      <w:spacing w:before="320" w:after="200"/>
      <w:outlineLvl w:val="8"/>
    </w:pPr>
    <w:rPr>
      <w:rFonts w:ascii="Arial" w:hAnsi="Arial" w:eastAsia="Arial" w:cs="Arial"/>
      <w:i/>
      <w:iCs/>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spacing w:after="57"/>
    </w:pPr>
  </w:style>
  <w:style w:type="paragraph" w:styleId="838">
    <w:name w:val="Caption"/>
    <w:basedOn w:val="825"/>
    <w:next w:val="8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annotation text"/>
    <w:basedOn w:val="825"/>
    <w:link w:val="1181"/>
    <w:uiPriority w:val="0"/>
    <w:semiHidden/>
    <w:unhideWhenUsed/>
    <w:qFormat/>
    <w:pPr>
      <w:jc w:val="left"/>
    </w:pPr>
  </w:style>
  <w:style w:type="paragraph" w:styleId="840">
    <w:name w:val="Body Text"/>
    <w:basedOn w:val="825"/>
    <w:uiPriority w:val="99"/>
    <w:qFormat/>
    <w:rPr>
      <w:rFonts w:ascii="仿宋_GB2312" w:eastAsia="仿宋_GB2312"/>
      <w:sz w:val="24"/>
    </w:rPr>
  </w:style>
  <w:style w:type="paragraph" w:styleId="841">
    <w:name w:val="Body Text Indent"/>
    <w:basedOn w:val="825"/>
    <w:uiPriority w:val="99"/>
    <w:unhideWhenUsed/>
    <w:qFormat/>
    <w:pPr>
      <w:ind w:left="420"/>
      <w:spacing w:after="120"/>
    </w:pPr>
    <w:rPr>
      <w:szCs w:val="22"/>
    </w:rPr>
  </w:style>
  <w:style w:type="paragraph" w:styleId="842">
    <w:name w:val="toc 5"/>
    <w:basedOn w:val="825"/>
    <w:next w:val="825"/>
    <w:uiPriority w:val="39"/>
    <w:unhideWhenUsed/>
    <w:qFormat/>
    <w:pPr>
      <w:ind w:left="1134"/>
      <w:spacing w:after="57"/>
    </w:pPr>
  </w:style>
  <w:style w:type="paragraph" w:styleId="843">
    <w:name w:val="toc 3"/>
    <w:basedOn w:val="825"/>
    <w:next w:val="825"/>
    <w:uiPriority w:val="39"/>
    <w:unhideWhenUsed/>
    <w:qFormat/>
    <w:pPr>
      <w:ind w:left="567"/>
      <w:spacing w:after="57"/>
    </w:pPr>
  </w:style>
  <w:style w:type="paragraph" w:styleId="844">
    <w:name w:val="toc 8"/>
    <w:basedOn w:val="825"/>
    <w:next w:val="825"/>
    <w:uiPriority w:val="39"/>
    <w:unhideWhenUsed/>
    <w:qFormat/>
    <w:pPr>
      <w:ind w:left="1984"/>
      <w:spacing w:after="57"/>
    </w:pPr>
  </w:style>
  <w:style w:type="paragraph" w:styleId="845">
    <w:name w:val="Body Text Indent 2"/>
    <w:basedOn w:val="825"/>
    <w:uiPriority w:val="0"/>
    <w:qFormat/>
    <w:pPr>
      <w:ind w:firstLine="502"/>
      <w:spacing w:line="360" w:lineRule="auto"/>
      <w:tabs>
        <w:tab w:val="left" w:pos="0" w:leader="none"/>
      </w:tabs>
    </w:pPr>
    <w:rPr>
      <w:rFonts w:ascii="宋体"/>
      <w:b/>
      <w:bCs/>
      <w:sz w:val="24"/>
    </w:rPr>
  </w:style>
  <w:style w:type="paragraph" w:styleId="846">
    <w:name w:val="endnote text"/>
    <w:basedOn w:val="825"/>
    <w:link w:val="1020"/>
    <w:uiPriority w:val="99"/>
    <w:semiHidden/>
    <w:unhideWhenUsed/>
    <w:qFormat/>
    <w:rPr>
      <w:sz w:val="20"/>
    </w:rPr>
  </w:style>
  <w:style w:type="paragraph" w:styleId="847">
    <w:name w:val="Balloon Text"/>
    <w:basedOn w:val="825"/>
    <w:link w:val="1180"/>
    <w:uiPriority w:val="99"/>
    <w:semiHidden/>
    <w:unhideWhenUsed/>
    <w:qFormat/>
    <w:rPr>
      <w:sz w:val="18"/>
      <w:szCs w:val="18"/>
    </w:rPr>
  </w:style>
  <w:style w:type="paragraph" w:styleId="848">
    <w:name w:val="Footer"/>
    <w:basedOn w:val="825"/>
    <w:link w:val="1178"/>
    <w:uiPriority w:val="0"/>
    <w:qFormat/>
    <w:pPr>
      <w:jc w:val="left"/>
      <w:tabs>
        <w:tab w:val="center" w:pos="4153" w:leader="none"/>
        <w:tab w:val="right" w:pos="8306" w:leader="none"/>
      </w:tabs>
    </w:pPr>
    <w:rPr>
      <w:sz w:val="18"/>
      <w:szCs w:val="18"/>
    </w:rPr>
  </w:style>
  <w:style w:type="paragraph" w:styleId="849">
    <w:name w:val="Header"/>
    <w:basedOn w:val="825"/>
    <w:link w:val="1177"/>
    <w:uiPriority w:val="0"/>
    <w:qFormat/>
    <w:pPr>
      <w:jc w:val="center"/>
      <w:tabs>
        <w:tab w:val="center" w:pos="4153" w:leader="none"/>
        <w:tab w:val="right" w:pos="8306" w:leader="none"/>
      </w:tabs>
    </w:pPr>
    <w:rPr>
      <w:sz w:val="18"/>
      <w:szCs w:val="18"/>
    </w:rPr>
  </w:style>
  <w:style w:type="paragraph" w:styleId="850">
    <w:name w:val="toc 1"/>
    <w:basedOn w:val="825"/>
    <w:next w:val="825"/>
    <w:uiPriority w:val="39"/>
    <w:unhideWhenUsed/>
    <w:qFormat/>
    <w:pPr>
      <w:spacing w:after="57"/>
    </w:pPr>
  </w:style>
  <w:style w:type="paragraph" w:styleId="851">
    <w:name w:val="toc 4"/>
    <w:basedOn w:val="825"/>
    <w:next w:val="825"/>
    <w:uiPriority w:val="39"/>
    <w:unhideWhenUsed/>
    <w:qFormat/>
    <w:pPr>
      <w:ind w:left="850"/>
      <w:spacing w:after="57"/>
    </w:pPr>
  </w:style>
  <w:style w:type="paragraph" w:styleId="852">
    <w:name w:val="Subtitle"/>
    <w:basedOn w:val="825"/>
    <w:next w:val="825"/>
    <w:link w:val="886"/>
    <w:uiPriority w:val="11"/>
    <w:qFormat/>
    <w:pPr>
      <w:spacing w:before="200" w:after="200"/>
    </w:pPr>
    <w:rPr>
      <w:sz w:val="24"/>
    </w:rPr>
  </w:style>
  <w:style w:type="paragraph" w:styleId="853">
    <w:name w:val="footnote text"/>
    <w:basedOn w:val="825"/>
    <w:link w:val="1019"/>
    <w:uiPriority w:val="99"/>
    <w:semiHidden/>
    <w:unhideWhenUsed/>
    <w:qFormat/>
    <w:pPr>
      <w:spacing w:after="40"/>
    </w:pPr>
    <w:rPr>
      <w:sz w:val="18"/>
    </w:rPr>
  </w:style>
  <w:style w:type="paragraph" w:styleId="854">
    <w:name w:val="toc 6"/>
    <w:basedOn w:val="825"/>
    <w:next w:val="825"/>
    <w:uiPriority w:val="39"/>
    <w:unhideWhenUsed/>
    <w:qFormat/>
    <w:pPr>
      <w:ind w:left="1417"/>
      <w:spacing w:after="57"/>
    </w:pPr>
  </w:style>
  <w:style w:type="paragraph" w:styleId="855">
    <w:name w:val="table of figures"/>
    <w:basedOn w:val="825"/>
    <w:next w:val="825"/>
    <w:uiPriority w:val="99"/>
    <w:unhideWhenUsed/>
    <w:qFormat/>
  </w:style>
  <w:style w:type="paragraph" w:styleId="856">
    <w:name w:val="toc 2"/>
    <w:basedOn w:val="825"/>
    <w:next w:val="825"/>
    <w:uiPriority w:val="39"/>
    <w:unhideWhenUsed/>
    <w:qFormat/>
    <w:pPr>
      <w:ind w:left="283"/>
      <w:spacing w:after="57"/>
    </w:pPr>
  </w:style>
  <w:style w:type="paragraph" w:styleId="857">
    <w:name w:val="toc 9"/>
    <w:basedOn w:val="825"/>
    <w:next w:val="825"/>
    <w:uiPriority w:val="39"/>
    <w:unhideWhenUsed/>
    <w:qFormat/>
    <w:pPr>
      <w:ind w:left="2268"/>
      <w:spacing w:after="57"/>
    </w:pPr>
  </w:style>
  <w:style w:type="paragraph" w:styleId="858">
    <w:name w:val="Normal (Web)"/>
    <w:basedOn w:val="825"/>
    <w:uiPriority w:val="0"/>
    <w:unhideWhenUsed/>
    <w:qFormat/>
    <w:pPr>
      <w:jc w:val="left"/>
      <w:spacing w:before="100" w:beforeAutospacing="1" w:after="100" w:afterAutospacing="1"/>
      <w:widowControl/>
    </w:pPr>
    <w:rPr>
      <w:rFonts w:ascii="宋体" w:hAnsi="宋体" w:cs="宋体"/>
      <w:sz w:val="24"/>
    </w:rPr>
  </w:style>
  <w:style w:type="paragraph" w:styleId="859">
    <w:name w:val="Title"/>
    <w:basedOn w:val="825"/>
    <w:next w:val="825"/>
    <w:link w:val="885"/>
    <w:uiPriority w:val="10"/>
    <w:qFormat/>
    <w:pPr>
      <w:contextualSpacing/>
      <w:spacing w:before="300" w:after="200"/>
    </w:pPr>
    <w:rPr>
      <w:sz w:val="48"/>
      <w:szCs w:val="48"/>
    </w:rPr>
  </w:style>
  <w:style w:type="paragraph" w:styleId="860">
    <w:name w:val="annotation subject"/>
    <w:basedOn w:val="839"/>
    <w:next w:val="839"/>
    <w:link w:val="1182"/>
    <w:uiPriority w:val="99"/>
    <w:semiHidden/>
    <w:unhideWhenUsed/>
    <w:qFormat/>
    <w:rPr>
      <w:b/>
      <w:bCs/>
    </w:rPr>
  </w:style>
  <w:style w:type="paragraph" w:styleId="861">
    <w:name w:val="Body Text First Indent"/>
    <w:basedOn w:val="840"/>
    <w:uiPriority w:val="0"/>
    <w:unhideWhenUsed/>
    <w:qFormat/>
    <w:pPr>
      <w:ind w:firstLine="420"/>
      <w:spacing w:after="120"/>
    </w:pPr>
    <w:rPr>
      <w:rFonts w:ascii="Times New Roman" w:hAnsi="Times New Roman"/>
      <w:sz w:val="21"/>
      <w:szCs w:val="24"/>
    </w:rPr>
  </w:style>
  <w:style w:type="paragraph" w:styleId="862">
    <w:name w:val="Body Text First Indent 2"/>
    <w:basedOn w:val="841"/>
    <w:uiPriority w:val="99"/>
    <w:unhideWhenUsed/>
    <w:qFormat/>
    <w:pPr>
      <w:ind w:left="0" w:firstLine="420"/>
      <w:spacing w:after="0" w:line="360" w:lineRule="auto"/>
    </w:pPr>
    <w:rPr>
      <w:rFonts w:ascii="宋体" w:hAnsi="宋体"/>
      <w:sz w:val="24"/>
      <w:szCs w:val="24"/>
    </w:rPr>
  </w:style>
  <w:style w:type="table" w:styleId="863">
    <w:name w:val="Table Grid"/>
    <w:basedOn w:val="8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5"/>
    <w:uiPriority w:val="22"/>
    <w:qFormat/>
    <w:rPr>
      <w:b/>
    </w:rPr>
  </w:style>
  <w:style w:type="character" w:styleId="865">
    <w:name w:val="endnote reference"/>
    <w:basedOn w:val="835"/>
    <w:uiPriority w:val="99"/>
    <w:semiHidden/>
    <w:unhideWhenUsed/>
    <w:qFormat/>
    <w:rPr>
      <w:vertAlign w:val="superscript"/>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annotation reference"/>
    <w:basedOn w:val="835"/>
    <w:uiPriority w:val="99"/>
    <w:semiHidden/>
    <w:unhideWhenUsed/>
    <w:qFormat/>
    <w:rPr>
      <w:sz w:val="21"/>
      <w:szCs w:val="21"/>
    </w:rPr>
  </w:style>
  <w:style w:type="character" w:styleId="868">
    <w:name w:val="footnote reference"/>
    <w:basedOn w:val="835"/>
    <w:uiPriority w:val="99"/>
    <w:unhideWhenUsed/>
    <w:qFormat/>
    <w:rPr>
      <w:vertAlign w:val="superscript"/>
    </w:rPr>
  </w:style>
  <w:style w:type="paragraph" w:styleId="869" w:customStyle="1">
    <w:name w:val="style4"/>
    <w:basedOn w:val="825"/>
    <w:next w:val="870"/>
    <w:uiPriority w:val="0"/>
    <w:qFormat/>
    <w:pPr>
      <w:spacing w:before="280" w:after="280"/>
      <w:widowControl/>
    </w:pPr>
    <w:rPr>
      <w:rFonts w:ascii="宋体"/>
      <w:sz w:val="18"/>
    </w:rPr>
  </w:style>
  <w:style w:type="paragraph" w:styleId="870" w:customStyle="1">
    <w:name w:val="2"/>
    <w:next w:val="825"/>
    <w:uiPriority w:val="0"/>
    <w:qFormat/>
    <w:pPr>
      <w:jc w:val="both"/>
      <w:widowControl w:val="off"/>
    </w:pPr>
    <w:rPr>
      <w:rFonts w:ascii="Times New Roman" w:hAnsi="Times New Roman" w:eastAsia="宋体" w:cs="Times New Roman"/>
      <w:sz w:val="21"/>
      <w:szCs w:val="22"/>
      <w:lang w:val="en-US" w:eastAsia="zh-CN" w:bidi="ar-SA"/>
    </w:rPr>
  </w:style>
  <w:style w:type="paragraph" w:styleId="871" w:customStyle="1">
    <w:name w:val="正文首行缩进1"/>
    <w:basedOn w:val="872"/>
    <w:uiPriority w:val="0"/>
    <w:qFormat/>
    <w:pPr>
      <w:ind w:firstLine="200"/>
      <w:spacing w:line="360" w:lineRule="auto"/>
    </w:pPr>
    <w:rPr>
      <w:rFonts w:ascii="仿宋_GB2312" w:hAnsi="Times New Roman" w:eastAsia="仿宋_GB2312"/>
      <w:sz w:val="30"/>
      <w:szCs w:val="30"/>
    </w:rPr>
  </w:style>
  <w:style w:type="paragraph" w:styleId="872" w:customStyle="1">
    <w:name w:val="正文文本11"/>
    <w:basedOn w:val="825"/>
    <w:next w:val="825"/>
    <w:uiPriority w:val="0"/>
    <w:qFormat/>
    <w:rPr>
      <w:rFonts w:ascii="楷体_GB2312" w:hAnsi="Arial" w:eastAsia="楷体_GB2312"/>
      <w:sz w:val="28"/>
      <w:szCs w:val="28"/>
    </w:rPr>
  </w:style>
  <w:style w:type="paragraph" w:styleId="873" w:customStyle="1">
    <w:name w:val="Default"/>
    <w:basedOn w:val="825"/>
    <w:uiPriority w:val="0"/>
    <w:qFormat/>
    <w:pPr>
      <w:jc w:val="left"/>
    </w:pPr>
    <w:rPr>
      <w:rFonts w:ascii="Arial" w:hAnsi="Arial" w:eastAsia="PMingLiU"/>
      <w:sz w:val="20"/>
      <w:szCs w:val="20"/>
    </w:rPr>
  </w:style>
  <w:style w:type="character" w:styleId="874" w:customStyle="1">
    <w:name w:val="标题 1 Char"/>
    <w:basedOn w:val="835"/>
    <w:link w:val="826"/>
    <w:uiPriority w:val="9"/>
    <w:qFormat/>
    <w:rPr>
      <w:rFonts w:ascii="Arial" w:hAnsi="Arial" w:eastAsia="Arial" w:cs="Arial"/>
      <w:sz w:val="40"/>
      <w:szCs w:val="40"/>
    </w:rPr>
  </w:style>
  <w:style w:type="character" w:styleId="875" w:customStyle="1">
    <w:name w:val="标题 2 Char"/>
    <w:basedOn w:val="835"/>
    <w:link w:val="827"/>
    <w:uiPriority w:val="9"/>
    <w:qFormat/>
    <w:rPr>
      <w:rFonts w:ascii="Arial" w:hAnsi="Arial" w:eastAsia="Arial" w:cs="Arial"/>
      <w:sz w:val="34"/>
    </w:rPr>
  </w:style>
  <w:style w:type="character" w:styleId="876" w:customStyle="1">
    <w:name w:val="标题 3 Char"/>
    <w:basedOn w:val="835"/>
    <w:link w:val="828"/>
    <w:uiPriority w:val="9"/>
    <w:qFormat/>
    <w:rPr>
      <w:rFonts w:ascii="Arial" w:hAnsi="Arial" w:eastAsia="Arial" w:cs="Arial"/>
      <w:sz w:val="30"/>
      <w:szCs w:val="30"/>
    </w:rPr>
  </w:style>
  <w:style w:type="character" w:styleId="877" w:customStyle="1">
    <w:name w:val="标题 4 Char"/>
    <w:basedOn w:val="835"/>
    <w:link w:val="829"/>
    <w:uiPriority w:val="9"/>
    <w:qFormat/>
    <w:rPr>
      <w:rFonts w:ascii="Arial" w:hAnsi="Arial" w:eastAsia="Arial" w:cs="Arial"/>
      <w:b/>
      <w:bCs/>
      <w:sz w:val="26"/>
      <w:szCs w:val="26"/>
    </w:rPr>
  </w:style>
  <w:style w:type="character" w:styleId="878" w:customStyle="1">
    <w:name w:val="标题 5 Char"/>
    <w:basedOn w:val="835"/>
    <w:link w:val="830"/>
    <w:uiPriority w:val="9"/>
    <w:qFormat/>
    <w:rPr>
      <w:rFonts w:ascii="Arial" w:hAnsi="Arial" w:eastAsia="Arial" w:cs="Arial"/>
      <w:b/>
      <w:bCs/>
      <w:sz w:val="24"/>
      <w:szCs w:val="24"/>
    </w:rPr>
  </w:style>
  <w:style w:type="character" w:styleId="879" w:customStyle="1">
    <w:name w:val="标题 6 Char"/>
    <w:basedOn w:val="835"/>
    <w:link w:val="831"/>
    <w:uiPriority w:val="9"/>
    <w:qFormat/>
    <w:rPr>
      <w:rFonts w:ascii="Arial" w:hAnsi="Arial" w:eastAsia="Arial" w:cs="Arial"/>
      <w:b/>
      <w:bCs/>
      <w:sz w:val="22"/>
      <w:szCs w:val="22"/>
    </w:rPr>
  </w:style>
  <w:style w:type="character" w:styleId="880" w:customStyle="1">
    <w:name w:val="标题 7 Char"/>
    <w:basedOn w:val="835"/>
    <w:link w:val="832"/>
    <w:uiPriority w:val="9"/>
    <w:qFormat/>
    <w:rPr>
      <w:rFonts w:ascii="Arial" w:hAnsi="Arial" w:eastAsia="Arial" w:cs="Arial"/>
      <w:b/>
      <w:bCs/>
      <w:i/>
      <w:iCs/>
      <w:sz w:val="22"/>
      <w:szCs w:val="22"/>
    </w:rPr>
  </w:style>
  <w:style w:type="character" w:styleId="881" w:customStyle="1">
    <w:name w:val="标题 8 Char"/>
    <w:basedOn w:val="835"/>
    <w:link w:val="833"/>
    <w:uiPriority w:val="9"/>
    <w:qFormat/>
    <w:rPr>
      <w:rFonts w:ascii="Arial" w:hAnsi="Arial" w:eastAsia="Arial" w:cs="Arial"/>
      <w:i/>
      <w:iCs/>
      <w:sz w:val="22"/>
      <w:szCs w:val="22"/>
    </w:rPr>
  </w:style>
  <w:style w:type="character" w:styleId="882" w:customStyle="1">
    <w:name w:val="标题 9 Char"/>
    <w:basedOn w:val="835"/>
    <w:link w:val="834"/>
    <w:uiPriority w:val="9"/>
    <w:qFormat/>
    <w:rPr>
      <w:rFonts w:ascii="Arial" w:hAnsi="Arial" w:eastAsia="Arial" w:cs="Arial"/>
      <w:i/>
      <w:iCs/>
      <w:sz w:val="21"/>
      <w:szCs w:val="21"/>
    </w:rPr>
  </w:style>
  <w:style w:type="paragraph" w:styleId="883">
    <w:name w:val="List Paragraph"/>
    <w:basedOn w:val="825"/>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
    <w:basedOn w:val="835"/>
    <w:link w:val="859"/>
    <w:uiPriority w:val="10"/>
    <w:qFormat/>
    <w:rPr>
      <w:sz w:val="48"/>
      <w:szCs w:val="48"/>
    </w:rPr>
  </w:style>
  <w:style w:type="character" w:styleId="886" w:customStyle="1">
    <w:name w:val="副标题 Char"/>
    <w:basedOn w:val="835"/>
    <w:link w:val="852"/>
    <w:uiPriority w:val="11"/>
    <w:qFormat/>
    <w:rPr>
      <w:sz w:val="24"/>
      <w:szCs w:val="24"/>
    </w:rPr>
  </w:style>
  <w:style w:type="paragraph" w:styleId="887">
    <w:name w:val="Quote"/>
    <w:basedOn w:val="825"/>
    <w:next w:val="825"/>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825"/>
    <w:next w:val="825"/>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Header Char"/>
    <w:basedOn w:val="835"/>
    <w:uiPriority w:val="99"/>
    <w:qFormat/>
  </w:style>
  <w:style w:type="character" w:styleId="892" w:customStyle="1">
    <w:name w:val="Footer Char"/>
    <w:basedOn w:val="835"/>
    <w:uiPriority w:val="99"/>
    <w:qFormat/>
  </w:style>
  <w:style w:type="character" w:styleId="893" w:customStyle="1">
    <w:name w:val="Caption Char"/>
    <w:uiPriority w:val="99"/>
    <w:qFormat/>
  </w:style>
  <w:style w:type="table" w:styleId="894" w:customStyle="1">
    <w:name w:val="Table Grid Light"/>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basedOn w:val="8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basedOn w:val="8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3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3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3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3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3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3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basedOn w:val="8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basedOn w:val="8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basedOn w:val="8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basedOn w:val="8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basedOn w:val="8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basedOn w:val="8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basedOn w:val="8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basedOn w:val="8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basedOn w:val="8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basedOn w:val="8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basedOn w:val="8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3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basedOn w:val="83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basedOn w:val="83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basedOn w:val="83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basedOn w:val="83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basedOn w:val="83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basedOn w:val="8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3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3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3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3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3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3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basedOn w:val="8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basedOn w:val="8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basedOn w:val="8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basedOn w:val="8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basedOn w:val="8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basedOn w:val="8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basedOn w:val="8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853"/>
    <w:uiPriority w:val="99"/>
    <w:qFormat/>
    <w:rPr>
      <w:sz w:val="18"/>
    </w:rPr>
  </w:style>
  <w:style w:type="character" w:styleId="1020" w:customStyle="1">
    <w:name w:val="尾注文本 Char"/>
    <w:link w:val="846"/>
    <w:uiPriority w:val="99"/>
    <w:qFormat/>
    <w:rPr>
      <w:sz w:val="20"/>
    </w:r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825"/>
    <w:link w:val="1034"/>
    <w:uiPriority w:val="0"/>
    <w:qFormat/>
    <w:pPr>
      <w:keepLines/>
      <w:keepNext/>
      <w:spacing w:before="340" w:after="330" w:line="578" w:lineRule="auto"/>
      <w:outlineLvl w:val="0"/>
    </w:pPr>
    <w:rPr>
      <w:b/>
      <w:bCs/>
      <w:sz w:val="44"/>
      <w:szCs w:val="44"/>
    </w:rPr>
  </w:style>
  <w:style w:type="paragraph" w:styleId="1023" w:customStyle="1">
    <w:name w:val="标题 21"/>
    <w:basedOn w:val="825"/>
    <w:link w:val="1035"/>
    <w:uiPriority w:val="0"/>
    <w:qFormat/>
    <w:pPr>
      <w:keepLines/>
      <w:keepNext/>
      <w:spacing w:before="260" w:after="260" w:line="416" w:lineRule="auto"/>
      <w:outlineLvl w:val="1"/>
    </w:pPr>
    <w:rPr>
      <w:rFonts w:ascii="Arial" w:hAnsi="Arial" w:eastAsia="黑体"/>
      <w:b/>
      <w:bCs/>
      <w:sz w:val="32"/>
      <w:szCs w:val="32"/>
    </w:rPr>
  </w:style>
  <w:style w:type="paragraph" w:styleId="1024" w:customStyle="1">
    <w:name w:val="标题 31"/>
    <w:basedOn w:val="825"/>
    <w:link w:val="1036"/>
    <w:uiPriority w:val="0"/>
    <w:qFormat/>
    <w:pPr>
      <w:keepLines/>
      <w:keepNext/>
      <w:spacing w:before="260" w:after="260" w:line="416" w:lineRule="auto"/>
      <w:outlineLvl w:val="2"/>
    </w:pPr>
    <w:rPr>
      <w:b/>
      <w:bCs/>
      <w:sz w:val="32"/>
      <w:szCs w:val="32"/>
    </w:rPr>
  </w:style>
  <w:style w:type="paragraph" w:styleId="1025" w:customStyle="1">
    <w:name w:val="标题 411"/>
    <w:basedOn w:val="825"/>
    <w:link w:val="1037"/>
    <w:uiPriority w:val="0"/>
    <w:qFormat/>
    <w:pPr>
      <w:jc w:val="center"/>
      <w:keepNext/>
      <w:outlineLvl w:val="3"/>
    </w:pPr>
    <w:rPr>
      <w:rFonts w:eastAsia="新宋体"/>
      <w:sz w:val="30"/>
      <w:szCs w:val="21"/>
    </w:rPr>
  </w:style>
  <w:style w:type="paragraph" w:styleId="1026" w:customStyle="1">
    <w:name w:val="标题 51"/>
    <w:basedOn w:val="825"/>
    <w:link w:val="1038"/>
    <w:uiPriority w:val="0"/>
    <w:qFormat/>
    <w:pPr>
      <w:keepLines/>
      <w:keepNext/>
      <w:spacing w:before="280" w:after="290" w:line="376" w:lineRule="auto"/>
      <w:outlineLvl w:val="4"/>
    </w:pPr>
    <w:rPr>
      <w:b/>
      <w:bCs/>
      <w:sz w:val="28"/>
      <w:szCs w:val="28"/>
    </w:rPr>
  </w:style>
  <w:style w:type="paragraph" w:styleId="1027" w:customStyle="1">
    <w:name w:val="标题 61"/>
    <w:basedOn w:val="825"/>
    <w:link w:val="1039"/>
    <w:uiPriority w:val="0"/>
    <w:qFormat/>
    <w:pPr>
      <w:jc w:val="center"/>
      <w:keepNext/>
      <w:outlineLvl w:val="5"/>
    </w:pPr>
    <w:rPr>
      <w:b/>
      <w:sz w:val="44"/>
      <w:szCs w:val="20"/>
    </w:rPr>
  </w:style>
  <w:style w:type="paragraph" w:styleId="1028" w:customStyle="1">
    <w:name w:val="标题 71"/>
    <w:basedOn w:val="825"/>
    <w:link w:val="1042"/>
    <w:uiPriority w:val="0"/>
    <w:qFormat/>
    <w:pPr>
      <w:keepLines/>
      <w:keepNext/>
      <w:spacing w:before="240" w:after="64" w:line="320" w:lineRule="auto"/>
      <w:outlineLvl w:val="6"/>
    </w:pPr>
    <w:rPr>
      <w:b/>
      <w:bCs/>
      <w:sz w:val="24"/>
    </w:rPr>
  </w:style>
  <w:style w:type="paragraph" w:styleId="1029" w:customStyle="1">
    <w:name w:val="标题 81"/>
    <w:basedOn w:val="825"/>
    <w:link w:val="1043"/>
    <w:uiPriority w:val="0"/>
    <w:qFormat/>
    <w:pPr>
      <w:keepLines/>
      <w:keepNext/>
      <w:spacing w:before="240" w:after="64" w:line="320" w:lineRule="auto"/>
      <w:outlineLvl w:val="7"/>
    </w:pPr>
    <w:rPr>
      <w:rFonts w:ascii="Arial" w:hAnsi="Arial" w:eastAsia="黑体"/>
      <w:sz w:val="24"/>
    </w:rPr>
  </w:style>
  <w:style w:type="paragraph" w:styleId="1030" w:customStyle="1">
    <w:name w:val="标题 91"/>
    <w:basedOn w:val="825"/>
    <w:link w:val="1044"/>
    <w:uiPriority w:val="0"/>
    <w:qFormat/>
    <w:pPr>
      <w:keepLines/>
      <w:keepNext/>
      <w:spacing w:before="240" w:after="64" w:line="320" w:lineRule="auto"/>
      <w:outlineLvl w:val="8"/>
    </w:pPr>
    <w:rPr>
      <w:rFonts w:ascii="Arial" w:hAnsi="Arial" w:eastAsia="黑体"/>
      <w:sz w:val="24"/>
      <w:szCs w:val="21"/>
    </w:rPr>
  </w:style>
  <w:style w:type="character" w:styleId="1031" w:customStyle="1">
    <w:name w:val="默认段落字体1"/>
    <w:uiPriority w:val="0"/>
    <w:qFormat/>
  </w:style>
  <w:style w:type="table" w:styleId="1032" w:customStyle="1">
    <w:name w:val="普通表格1"/>
    <w:uiPriority w:val="0"/>
    <w:qFormat/>
    <w:tblPr>
      <w:tblCellMar>
        <w:left w:w="0" w:type="dxa"/>
        <w:top w:w="0" w:type="dxa"/>
        <w:right w:w="0" w:type="dxa"/>
        <w:bottom w:w="0" w:type="dxa"/>
      </w:tblCellMar>
    </w:tblPr>
  </w:style>
  <w:style w:type="paragraph" w:styleId="1033" w:customStyle="1">
    <w:name w:val="正文文本1"/>
    <w:basedOn w:val="825"/>
    <w:uiPriority w:val="0"/>
    <w:qFormat/>
    <w:rPr>
      <w:rFonts w:ascii="楷体_GB2312" w:hAnsi="Arial" w:eastAsia="楷体_GB2312"/>
      <w:sz w:val="28"/>
      <w:szCs w:val="28"/>
    </w:rPr>
  </w:style>
  <w:style w:type="character" w:styleId="1034" w:customStyle="1">
    <w:name w:val="标题 1 字符"/>
    <w:link w:val="1022"/>
    <w:uiPriority w:val="0"/>
    <w:qFormat/>
    <w:rPr>
      <w:rFonts w:ascii="Times New Roman" w:hAnsi="Times New Roman" w:eastAsia="宋体"/>
      <w:b/>
      <w:bCs/>
      <w:sz w:val="44"/>
      <w:szCs w:val="44"/>
    </w:rPr>
  </w:style>
  <w:style w:type="character" w:styleId="1035" w:customStyle="1">
    <w:name w:val="标题 2 字符"/>
    <w:link w:val="1023"/>
    <w:uiPriority w:val="0"/>
    <w:qFormat/>
    <w:rPr>
      <w:rFonts w:ascii="Arial" w:hAnsi="Arial" w:eastAsia="黑体"/>
      <w:b/>
      <w:bCs/>
      <w:sz w:val="32"/>
      <w:szCs w:val="32"/>
    </w:rPr>
  </w:style>
  <w:style w:type="character" w:styleId="1036" w:customStyle="1">
    <w:name w:val="标题 3 字符"/>
    <w:link w:val="1024"/>
    <w:uiPriority w:val="0"/>
    <w:qFormat/>
    <w:rPr>
      <w:rFonts w:ascii="Times New Roman" w:hAnsi="Times New Roman" w:eastAsia="宋体"/>
      <w:b/>
      <w:bCs/>
      <w:sz w:val="32"/>
      <w:szCs w:val="32"/>
    </w:rPr>
  </w:style>
  <w:style w:type="character" w:styleId="1037" w:customStyle="1">
    <w:name w:val="标题 4 字符"/>
    <w:link w:val="1025"/>
    <w:uiPriority w:val="0"/>
    <w:qFormat/>
    <w:rPr>
      <w:rFonts w:ascii="Times New Roman" w:hAnsi="Times New Roman" w:eastAsia="新宋体"/>
      <w:sz w:val="30"/>
      <w:szCs w:val="21"/>
    </w:rPr>
  </w:style>
  <w:style w:type="character" w:styleId="1038" w:customStyle="1">
    <w:name w:val="标题 5 字符"/>
    <w:link w:val="1026"/>
    <w:uiPriority w:val="0"/>
    <w:qFormat/>
    <w:rPr>
      <w:rFonts w:ascii="Times New Roman" w:hAnsi="Times New Roman" w:eastAsia="宋体"/>
      <w:b/>
      <w:bCs/>
      <w:sz w:val="28"/>
      <w:szCs w:val="28"/>
    </w:rPr>
  </w:style>
  <w:style w:type="character" w:styleId="1039" w:customStyle="1">
    <w:name w:val="标题 6 字符"/>
    <w:link w:val="1027"/>
    <w:uiPriority w:val="0"/>
    <w:qFormat/>
    <w:rPr>
      <w:rFonts w:ascii="Times New Roman" w:hAnsi="Times New Roman" w:eastAsia="宋体"/>
      <w:b/>
      <w:sz w:val="44"/>
      <w:szCs w:val="20"/>
    </w:rPr>
  </w:style>
  <w:style w:type="paragraph" w:styleId="1040" w:customStyle="1">
    <w:name w:val="正文缩进11"/>
    <w:basedOn w:val="825"/>
    <w:link w:val="1041"/>
    <w:uiPriority w:val="0"/>
    <w:qFormat/>
    <w:pPr>
      <w:ind w:firstLine="420"/>
    </w:pPr>
    <w:rPr>
      <w:sz w:val="20"/>
      <w:szCs w:val="20"/>
    </w:rPr>
  </w:style>
  <w:style w:type="character" w:styleId="1041" w:customStyle="1">
    <w:name w:val="正文缩进 字符"/>
    <w:link w:val="1040"/>
    <w:uiPriority w:val="0"/>
    <w:qFormat/>
    <w:rPr>
      <w:rFonts w:ascii="Times New Roman" w:hAnsi="Times New Roman" w:eastAsia="宋体"/>
      <w:sz w:val="20"/>
      <w:szCs w:val="20"/>
    </w:rPr>
  </w:style>
  <w:style w:type="character" w:styleId="1042" w:customStyle="1">
    <w:name w:val="标题 7 字符"/>
    <w:link w:val="1028"/>
    <w:uiPriority w:val="0"/>
    <w:qFormat/>
    <w:rPr>
      <w:rFonts w:ascii="Times New Roman" w:hAnsi="Times New Roman" w:eastAsia="宋体"/>
      <w:b/>
      <w:bCs/>
      <w:sz w:val="24"/>
      <w:szCs w:val="24"/>
    </w:rPr>
  </w:style>
  <w:style w:type="character" w:styleId="1043" w:customStyle="1">
    <w:name w:val="标题 8 字符"/>
    <w:link w:val="1029"/>
    <w:uiPriority w:val="0"/>
    <w:qFormat/>
    <w:rPr>
      <w:rFonts w:ascii="Arial" w:hAnsi="Arial" w:eastAsia="黑体"/>
      <w:sz w:val="24"/>
      <w:szCs w:val="24"/>
    </w:rPr>
  </w:style>
  <w:style w:type="character" w:styleId="1044" w:customStyle="1">
    <w:name w:val="标题 9 字符"/>
    <w:link w:val="1030"/>
    <w:uiPriority w:val="0"/>
    <w:qFormat/>
    <w:rPr>
      <w:rFonts w:ascii="Arial" w:hAnsi="Arial" w:eastAsia="黑体"/>
      <w:sz w:val="24"/>
      <w:szCs w:val="21"/>
    </w:rPr>
  </w:style>
  <w:style w:type="paragraph" w:styleId="1045" w:customStyle="1">
    <w:name w:val="注释标题1"/>
    <w:basedOn w:val="825"/>
    <w:uiPriority w:val="0"/>
    <w:qFormat/>
    <w:rPr>
      <w:rFonts w:ascii="Verdana" w:hAnsi="Verdana"/>
      <w:szCs w:val="20"/>
    </w:rPr>
  </w:style>
  <w:style w:type="paragraph" w:styleId="1046" w:customStyle="1">
    <w:name w:val="文档结构图1"/>
    <w:basedOn w:val="825"/>
    <w:link w:val="1047"/>
    <w:uiPriority w:val="0"/>
    <w:semiHidden/>
    <w:qFormat/>
    <w:pPr>
      <w:shd w:val="clear" w:color="auto" w:fill="000080"/>
    </w:pPr>
    <w:rPr>
      <w:sz w:val="20"/>
    </w:rPr>
  </w:style>
  <w:style w:type="character" w:styleId="1047" w:customStyle="1">
    <w:name w:val="文档结构图 字符"/>
    <w:link w:val="1046"/>
    <w:uiPriority w:val="0"/>
    <w:semiHidden/>
    <w:qFormat/>
    <w:rPr>
      <w:szCs w:val="24"/>
      <w:shd w:val="clear" w:color="auto" w:fill="000080"/>
    </w:rPr>
  </w:style>
  <w:style w:type="paragraph" w:styleId="1048" w:customStyle="1">
    <w:name w:val="引文目录标题1"/>
    <w:basedOn w:val="825"/>
    <w:uiPriority w:val="0"/>
    <w:qFormat/>
    <w:pPr>
      <w:jc w:val="center"/>
      <w:spacing w:line="360" w:lineRule="atLeast"/>
    </w:pPr>
    <w:rPr>
      <w:rFonts w:ascii="Arial" w:hAnsi="Arial" w:eastAsia="黑体"/>
      <w:sz w:val="36"/>
      <w:szCs w:val="20"/>
    </w:rPr>
  </w:style>
  <w:style w:type="paragraph" w:styleId="1049" w:customStyle="1">
    <w:name w:val="批注文字1"/>
    <w:basedOn w:val="825"/>
    <w:link w:val="1050"/>
    <w:uiPriority w:val="0"/>
    <w:qFormat/>
    <w:pPr>
      <w:jc w:val="left"/>
    </w:pPr>
  </w:style>
  <w:style w:type="character" w:styleId="1050" w:customStyle="1">
    <w:name w:val="批注文字 字符"/>
    <w:link w:val="1049"/>
    <w:uiPriority w:val="0"/>
    <w:qFormat/>
    <w:rPr>
      <w:sz w:val="21"/>
      <w:szCs w:val="24"/>
    </w:rPr>
  </w:style>
  <w:style w:type="paragraph" w:styleId="1051" w:customStyle="1">
    <w:name w:val="正文文本 31"/>
    <w:basedOn w:val="825"/>
    <w:link w:val="1052"/>
    <w:uiPriority w:val="0"/>
    <w:qFormat/>
    <w:pPr>
      <w:spacing w:after="120"/>
    </w:pPr>
    <w:rPr>
      <w:sz w:val="16"/>
      <w:szCs w:val="16"/>
    </w:rPr>
  </w:style>
  <w:style w:type="character" w:styleId="1052" w:customStyle="1">
    <w:name w:val="正文文本 3 字符"/>
    <w:link w:val="1051"/>
    <w:uiPriority w:val="0"/>
    <w:qFormat/>
    <w:rPr>
      <w:rFonts w:ascii="Times New Roman" w:hAnsi="Times New Roman" w:eastAsia="宋体"/>
      <w:sz w:val="16"/>
      <w:szCs w:val="16"/>
    </w:rPr>
  </w:style>
  <w:style w:type="paragraph" w:styleId="1053" w:customStyle="1">
    <w:name w:val="正文文本21"/>
    <w:basedOn w:val="825"/>
    <w:link w:val="1054"/>
    <w:uiPriority w:val="0"/>
    <w:qFormat/>
    <w:rPr>
      <w:rFonts w:ascii="仿宋_GB2312" w:eastAsia="仿宋_GB2312"/>
      <w:sz w:val="24"/>
      <w:szCs w:val="20"/>
    </w:rPr>
  </w:style>
  <w:style w:type="character" w:styleId="1054" w:customStyle="1">
    <w:name w:val="正文文本 字符"/>
    <w:link w:val="1053"/>
    <w:uiPriority w:val="0"/>
    <w:qFormat/>
    <w:rPr>
      <w:rFonts w:ascii="仿宋_GB2312" w:hAnsi="Times New Roman" w:eastAsia="仿宋_GB2312"/>
      <w:sz w:val="24"/>
      <w:szCs w:val="20"/>
    </w:rPr>
  </w:style>
  <w:style w:type="paragraph" w:styleId="1055" w:customStyle="1">
    <w:name w:val="正文文本缩进1"/>
    <w:basedOn w:val="825"/>
    <w:link w:val="1056"/>
    <w:uiPriority w:val="0"/>
    <w:qFormat/>
    <w:pPr>
      <w:ind w:left="765"/>
    </w:pPr>
    <w:rPr>
      <w:rFonts w:ascii="仿宋_GB2312" w:eastAsia="仿宋_GB2312"/>
      <w:sz w:val="28"/>
      <w:szCs w:val="20"/>
    </w:rPr>
  </w:style>
  <w:style w:type="character" w:styleId="1056" w:customStyle="1">
    <w:name w:val="正文文本缩进 字符"/>
    <w:link w:val="1055"/>
    <w:uiPriority w:val="0"/>
    <w:qFormat/>
    <w:rPr>
      <w:rFonts w:ascii="仿宋_GB2312" w:hAnsi="Times New Roman" w:eastAsia="仿宋_GB2312"/>
      <w:sz w:val="28"/>
      <w:szCs w:val="20"/>
    </w:rPr>
  </w:style>
  <w:style w:type="paragraph" w:styleId="1057" w:customStyle="1">
    <w:name w:val="文本块1"/>
    <w:basedOn w:val="825"/>
    <w:uiPriority w:val="0"/>
    <w:qFormat/>
    <w:pPr>
      <w:ind w:right="210" w:firstLine="560"/>
      <w:spacing w:line="360" w:lineRule="auto"/>
    </w:pPr>
    <w:rPr>
      <w:rFonts w:ascii="宋体" w:hAnsi="宋体"/>
      <w:color w:val="000000"/>
      <w:spacing w:val="20"/>
      <w:sz w:val="24"/>
      <w:szCs w:val="18"/>
    </w:rPr>
  </w:style>
  <w:style w:type="paragraph" w:styleId="1058" w:customStyle="1">
    <w:name w:val="纯文本11"/>
    <w:basedOn w:val="825"/>
    <w:link w:val="1059"/>
    <w:uiPriority w:val="0"/>
    <w:qFormat/>
    <w:rPr>
      <w:rFonts w:ascii="宋体" w:hAnsi="Courier New"/>
      <w:sz w:val="20"/>
      <w:szCs w:val="21"/>
    </w:rPr>
  </w:style>
  <w:style w:type="character" w:styleId="1059" w:customStyle="1">
    <w:name w:val="纯文本 字符"/>
    <w:link w:val="1058"/>
    <w:uiPriority w:val="0"/>
    <w:qFormat/>
    <w:rPr>
      <w:rFonts w:ascii="宋体" w:hAnsi="Courier New" w:eastAsia="宋体"/>
      <w:szCs w:val="21"/>
    </w:rPr>
  </w:style>
  <w:style w:type="paragraph" w:styleId="1060" w:customStyle="1">
    <w:name w:val="日期1"/>
    <w:basedOn w:val="825"/>
    <w:link w:val="1061"/>
    <w:uiPriority w:val="0"/>
    <w:qFormat/>
    <w:rPr>
      <w:sz w:val="24"/>
      <w:szCs w:val="20"/>
    </w:rPr>
  </w:style>
  <w:style w:type="character" w:styleId="1061" w:customStyle="1">
    <w:name w:val="日期 字符"/>
    <w:link w:val="1060"/>
    <w:uiPriority w:val="0"/>
    <w:qFormat/>
    <w:rPr>
      <w:rFonts w:ascii="Times New Roman" w:hAnsi="Times New Roman" w:eastAsia="宋体"/>
      <w:sz w:val="24"/>
      <w:szCs w:val="20"/>
    </w:rPr>
  </w:style>
  <w:style w:type="paragraph" w:styleId="1062" w:customStyle="1">
    <w:name w:val="正文文本缩进 21"/>
    <w:basedOn w:val="825"/>
    <w:link w:val="1063"/>
    <w:uiPriority w:val="0"/>
    <w:qFormat/>
    <w:pPr>
      <w:ind w:firstLine="560"/>
      <w:spacing w:line="500" w:lineRule="exact"/>
    </w:pPr>
    <w:rPr>
      <w:rFonts w:eastAsia="仿宋_GB2312"/>
      <w:sz w:val="28"/>
      <w:szCs w:val="20"/>
    </w:rPr>
  </w:style>
  <w:style w:type="character" w:styleId="1063" w:customStyle="1">
    <w:name w:val="正文文本缩进 2 字符"/>
    <w:link w:val="1062"/>
    <w:uiPriority w:val="0"/>
    <w:qFormat/>
    <w:rPr>
      <w:rFonts w:ascii="Times New Roman" w:hAnsi="Times New Roman" w:eastAsia="仿宋_GB2312"/>
      <w:sz w:val="28"/>
      <w:szCs w:val="20"/>
    </w:rPr>
  </w:style>
  <w:style w:type="paragraph" w:styleId="1064" w:customStyle="1">
    <w:name w:val="批注框文本1"/>
    <w:basedOn w:val="825"/>
    <w:link w:val="1065"/>
    <w:uiPriority w:val="0"/>
    <w:semiHidden/>
    <w:qFormat/>
    <w:rPr>
      <w:sz w:val="18"/>
      <w:szCs w:val="18"/>
    </w:rPr>
  </w:style>
  <w:style w:type="character" w:styleId="1065" w:customStyle="1">
    <w:name w:val="批注框文本 字符"/>
    <w:link w:val="1064"/>
    <w:uiPriority w:val="0"/>
    <w:semiHidden/>
    <w:qFormat/>
    <w:rPr>
      <w:sz w:val="18"/>
      <w:szCs w:val="18"/>
    </w:rPr>
  </w:style>
  <w:style w:type="paragraph" w:styleId="1066" w:customStyle="1">
    <w:name w:val="页脚11"/>
    <w:basedOn w:val="825"/>
    <w:link w:val="1067"/>
    <w:uiPriority w:val="0"/>
    <w:qFormat/>
    <w:pPr>
      <w:jc w:val="left"/>
      <w:tabs>
        <w:tab w:val="center" w:pos="4153" w:leader="none"/>
        <w:tab w:val="right" w:pos="8306" w:leader="none"/>
      </w:tabs>
    </w:pPr>
    <w:rPr>
      <w:sz w:val="18"/>
      <w:szCs w:val="20"/>
    </w:rPr>
  </w:style>
  <w:style w:type="character" w:styleId="1067" w:customStyle="1">
    <w:name w:val="页脚 字符"/>
    <w:link w:val="1066"/>
    <w:uiPriority w:val="0"/>
    <w:qFormat/>
    <w:rPr>
      <w:rFonts w:ascii="Times New Roman" w:hAnsi="Times New Roman" w:eastAsia="宋体"/>
      <w:sz w:val="18"/>
      <w:szCs w:val="20"/>
    </w:rPr>
  </w:style>
  <w:style w:type="paragraph" w:styleId="1068" w:customStyle="1">
    <w:name w:val="寄信人地址1"/>
    <w:basedOn w:val="825"/>
    <w:uiPriority w:val="0"/>
    <w:qFormat/>
    <w:rPr>
      <w:rFonts w:ascii="Arial" w:hAnsi="Arial"/>
    </w:rPr>
  </w:style>
  <w:style w:type="paragraph" w:styleId="1069" w:customStyle="1">
    <w:name w:val="页眉11"/>
    <w:basedOn w:val="825"/>
    <w:link w:val="1070"/>
    <w:uiPriority w:val="0"/>
    <w:qFormat/>
    <w:pPr>
      <w:jc w:val="center"/>
      <w:tabs>
        <w:tab w:val="center" w:pos="4153" w:leader="none"/>
        <w:tab w:val="right" w:pos="8306" w:leader="none"/>
      </w:tabs>
      <w:pBdr>
        <w:bottom w:val="single" w:color="000000" w:sz="6" w:space="1"/>
      </w:pBdr>
    </w:pPr>
    <w:rPr>
      <w:sz w:val="18"/>
      <w:szCs w:val="18"/>
    </w:rPr>
  </w:style>
  <w:style w:type="character" w:styleId="1070" w:customStyle="1">
    <w:name w:val="页眉 字符"/>
    <w:link w:val="1069"/>
    <w:uiPriority w:val="0"/>
    <w:qFormat/>
    <w:rPr>
      <w:rFonts w:ascii="Times New Roman" w:hAnsi="Times New Roman" w:eastAsia="宋体"/>
      <w:sz w:val="18"/>
      <w:szCs w:val="18"/>
    </w:rPr>
  </w:style>
  <w:style w:type="paragraph" w:styleId="1071" w:customStyle="1">
    <w:name w:val="目录 11"/>
    <w:basedOn w:val="825"/>
    <w:uiPriority w:val="0"/>
    <w:semiHidden/>
    <w:qFormat/>
    <w:rPr>
      <w:sz w:val="24"/>
    </w:rPr>
  </w:style>
  <w:style w:type="paragraph" w:styleId="1072" w:customStyle="1">
    <w:name w:val="列表1"/>
    <w:basedOn w:val="825"/>
    <w:uiPriority w:val="0"/>
    <w:qFormat/>
    <w:pPr>
      <w:ind w:left="200" w:hanging="200"/>
    </w:pPr>
  </w:style>
  <w:style w:type="paragraph" w:styleId="1073" w:customStyle="1">
    <w:name w:val="正文文本缩进 31"/>
    <w:basedOn w:val="825"/>
    <w:link w:val="1074"/>
    <w:uiPriority w:val="0"/>
    <w:qFormat/>
    <w:pPr>
      <w:ind w:left="420"/>
      <w:spacing w:after="120"/>
    </w:pPr>
    <w:rPr>
      <w:sz w:val="16"/>
      <w:szCs w:val="16"/>
    </w:rPr>
  </w:style>
  <w:style w:type="character" w:styleId="1074" w:customStyle="1">
    <w:name w:val="正文文本缩进 3 字符"/>
    <w:link w:val="1073"/>
    <w:uiPriority w:val="0"/>
    <w:qFormat/>
    <w:rPr>
      <w:rFonts w:ascii="Times New Roman" w:hAnsi="Times New Roman" w:eastAsia="宋体"/>
      <w:sz w:val="16"/>
      <w:szCs w:val="16"/>
    </w:rPr>
  </w:style>
  <w:style w:type="paragraph" w:styleId="1075" w:customStyle="1">
    <w:name w:val="正文文本 21"/>
    <w:basedOn w:val="825"/>
    <w:link w:val="1076"/>
    <w:uiPriority w:val="0"/>
    <w:qFormat/>
    <w:rPr>
      <w:b/>
      <w:bCs/>
      <w:sz w:val="18"/>
    </w:rPr>
  </w:style>
  <w:style w:type="character" w:styleId="1076" w:customStyle="1">
    <w:name w:val="正文文本 2 字符"/>
    <w:link w:val="1075"/>
    <w:uiPriority w:val="0"/>
    <w:qFormat/>
    <w:rPr>
      <w:rFonts w:ascii="Times New Roman" w:hAnsi="Times New Roman" w:eastAsia="宋体"/>
      <w:b/>
      <w:bCs/>
      <w:sz w:val="18"/>
      <w:szCs w:val="24"/>
    </w:rPr>
  </w:style>
  <w:style w:type="paragraph" w:styleId="1077" w:customStyle="1">
    <w:name w:val="普通(网站)1"/>
    <w:basedOn w:val="825"/>
    <w:uiPriority w:val="0"/>
    <w:qFormat/>
    <w:pPr>
      <w:jc w:val="left"/>
      <w:spacing w:before="100" w:beforeAutospacing="1" w:after="100" w:afterAutospacing="1"/>
      <w:widowControl/>
    </w:pPr>
    <w:rPr>
      <w:rFonts w:ascii="宋体" w:hAnsi="宋体"/>
      <w:color w:val="000000"/>
      <w:sz w:val="24"/>
    </w:rPr>
  </w:style>
  <w:style w:type="paragraph" w:styleId="1078" w:customStyle="1">
    <w:name w:val="批注主题1"/>
    <w:basedOn w:val="1049"/>
    <w:link w:val="1079"/>
    <w:uiPriority w:val="0"/>
    <w:qFormat/>
    <w:rPr>
      <w:b/>
      <w:bCs/>
    </w:rPr>
  </w:style>
  <w:style w:type="character" w:styleId="1079" w:customStyle="1">
    <w:name w:val="批注主题 字符"/>
    <w:link w:val="1078"/>
    <w:uiPriority w:val="0"/>
    <w:semiHidden/>
    <w:qFormat/>
    <w:rPr>
      <w:b/>
      <w:bCs/>
      <w:sz w:val="21"/>
      <w:szCs w:val="24"/>
    </w:rPr>
  </w:style>
  <w:style w:type="paragraph" w:styleId="1080" w:customStyle="1">
    <w:name w:val="正文首行缩进11"/>
    <w:basedOn w:val="1053"/>
    <w:link w:val="1081"/>
    <w:uiPriority w:val="0"/>
    <w:qFormat/>
    <w:pPr>
      <w:ind w:firstLine="420"/>
      <w:spacing w:after="120"/>
    </w:pPr>
    <w:rPr>
      <w:rFonts w:ascii="Times New Roman" w:eastAsia="宋体"/>
      <w:szCs w:val="24"/>
    </w:rPr>
  </w:style>
  <w:style w:type="character" w:styleId="1081" w:customStyle="1">
    <w:name w:val="正文文本首行缩进 字符"/>
    <w:link w:val="1080"/>
    <w:uiPriority w:val="0"/>
    <w:qFormat/>
    <w:rPr>
      <w:rFonts w:ascii="Times New Roman" w:hAnsi="Times New Roman" w:eastAsia="宋体"/>
      <w:sz w:val="24"/>
      <w:szCs w:val="24"/>
    </w:rPr>
  </w:style>
  <w:style w:type="paragraph" w:styleId="1082" w:customStyle="1">
    <w:name w:val="正文首行缩进 21"/>
    <w:basedOn w:val="1055"/>
    <w:uiPriority w:val="0"/>
    <w:qFormat/>
    <w:pPr>
      <w:ind w:firstLine="200"/>
    </w:pPr>
  </w:style>
  <w:style w:type="table" w:styleId="1083" w:customStyle="1">
    <w:name w:val="网格型11"/>
    <w:basedOn w:val="1032"/>
    <w:uiPriority w:val="0"/>
    <w:qFormat/>
    <w:tblPr>
      <w:tblCellMar>
        <w:left w:w="0" w:type="dxa"/>
        <w:top w:w="0" w:type="dxa"/>
        <w:right w:w="0" w:type="dxa"/>
        <w:bottom w:w="0" w:type="dxa"/>
      </w:tblCellMar>
    </w:tblPr>
  </w:style>
  <w:style w:type="character" w:styleId="1084" w:customStyle="1">
    <w:name w:val="要点1"/>
    <w:uiPriority w:val="0"/>
    <w:qFormat/>
    <w:rPr>
      <w:b/>
      <w:bCs/>
    </w:rPr>
  </w:style>
  <w:style w:type="character" w:styleId="1085" w:customStyle="1">
    <w:name w:val="页码1"/>
    <w:uiPriority w:val="0"/>
    <w:qFormat/>
  </w:style>
  <w:style w:type="character" w:styleId="1086" w:customStyle="1">
    <w:name w:val="已访问的超链接1"/>
    <w:uiPriority w:val="0"/>
    <w:qFormat/>
    <w:rPr>
      <w:color w:val="800080"/>
      <w:u w:val="single"/>
    </w:rPr>
  </w:style>
  <w:style w:type="character" w:styleId="1087" w:customStyle="1">
    <w:name w:val="超链接1"/>
    <w:uiPriority w:val="0"/>
    <w:qFormat/>
    <w:rPr>
      <w:color w:val="0000ff"/>
      <w:u w:val="single"/>
    </w:rPr>
  </w:style>
  <w:style w:type="character" w:styleId="1088" w:customStyle="1">
    <w:name w:val="批注引用1"/>
    <w:uiPriority w:val="0"/>
    <w:qFormat/>
    <w:rPr>
      <w:sz w:val="21"/>
      <w:szCs w:val="21"/>
    </w:rPr>
  </w:style>
  <w:style w:type="paragraph" w:styleId="1089" w:customStyle="1">
    <w:name w:val="列表段落1"/>
    <w:basedOn w:val="825"/>
    <w:link w:val="1090"/>
    <w:uiPriority w:val="0"/>
    <w:qFormat/>
    <w:pPr>
      <w:ind w:firstLine="420"/>
    </w:pPr>
    <w:rPr>
      <w:sz w:val="20"/>
      <w:szCs w:val="20"/>
    </w:rPr>
  </w:style>
  <w:style w:type="character" w:styleId="1090" w:customStyle="1">
    <w:name w:val="列表段落 字符1"/>
    <w:link w:val="1089"/>
    <w:uiPriority w:val="0"/>
    <w:qFormat/>
  </w:style>
  <w:style w:type="paragraph" w:styleId="1091" w:customStyle="1">
    <w:name w:val="无间隔1"/>
    <w:uiPriority w:val="0"/>
    <w:qFormat/>
    <w:rPr>
      <w:rFonts w:ascii="Times New Roman" w:hAnsi="Times New Roman" w:eastAsia="宋体" w:cs="Times New Roman"/>
      <w:sz w:val="22"/>
      <w:lang w:val="en-US" w:eastAsia="zh-CN" w:bidi="ar-SA"/>
    </w:rPr>
  </w:style>
  <w:style w:type="paragraph" w:styleId="1092" w:customStyle="1">
    <w:name w:val="正文缩进1"/>
    <w:basedOn w:val="825"/>
    <w:uiPriority w:val="0"/>
    <w:qFormat/>
    <w:pPr>
      <w:ind w:firstLine="420"/>
      <w:jc w:val="left"/>
      <w:widowControl/>
    </w:pPr>
  </w:style>
  <w:style w:type="character" w:styleId="1093" w:customStyle="1">
    <w:name w:val="文档结构图 Char1"/>
    <w:uiPriority w:val="0"/>
    <w:semiHidden/>
    <w:qFormat/>
    <w:rPr>
      <w:rFonts w:ascii="宋体" w:hAnsi="Times New Roman" w:eastAsia="宋体"/>
      <w:sz w:val="18"/>
      <w:szCs w:val="18"/>
    </w:rPr>
  </w:style>
  <w:style w:type="character" w:styleId="1094" w:customStyle="1">
    <w:name w:val="普通正文 Char"/>
    <w:link w:val="1095"/>
    <w:uiPriority w:val="0"/>
    <w:qFormat/>
    <w:rPr>
      <w:rFonts w:ascii="Arial" w:hAnsi="Arial"/>
      <w:sz w:val="24"/>
      <w:szCs w:val="24"/>
    </w:rPr>
  </w:style>
  <w:style w:type="paragraph" w:styleId="1095" w:customStyle="1">
    <w:name w:val="普通正文"/>
    <w:basedOn w:val="825"/>
    <w:link w:val="1094"/>
    <w:uiPriority w:val="0"/>
    <w:qFormat/>
    <w:pPr>
      <w:ind w:left="-2" w:right="120" w:firstLine="480"/>
      <w:jc w:val="center"/>
      <w:spacing w:before="120" w:after="120" w:line="360" w:lineRule="auto"/>
    </w:pPr>
    <w:rPr>
      <w:rFonts w:ascii="Arial" w:hAnsi="Arial"/>
      <w:sz w:val="24"/>
    </w:rPr>
  </w:style>
  <w:style w:type="character" w:styleId="1096" w:customStyle="1">
    <w:name w:val="FA正文 Char"/>
    <w:link w:val="1097"/>
    <w:uiPriority w:val="0"/>
    <w:qFormat/>
    <w:rPr>
      <w:rFonts w:ascii="宋体" w:hAnsi="宋体" w:eastAsia="宋体"/>
      <w:sz w:val="28"/>
      <w:szCs w:val="28"/>
    </w:rPr>
  </w:style>
  <w:style w:type="paragraph" w:styleId="1097" w:customStyle="1">
    <w:name w:val="FA正文"/>
    <w:basedOn w:val="825"/>
    <w:link w:val="1096"/>
    <w:uiPriority w:val="0"/>
    <w:qFormat/>
    <w:pPr>
      <w:ind w:firstLine="538"/>
      <w:spacing w:line="440" w:lineRule="atLeast"/>
      <w:tabs>
        <w:tab w:val="left" w:pos="3375" w:leader="none"/>
      </w:tabs>
    </w:pPr>
    <w:rPr>
      <w:rFonts w:ascii="宋体" w:hAnsi="宋体"/>
      <w:sz w:val="28"/>
      <w:szCs w:val="28"/>
    </w:rPr>
  </w:style>
  <w:style w:type="character" w:styleId="1098" w:customStyle="1">
    <w:name w:val="正文缩进2格 Char"/>
    <w:link w:val="1099"/>
    <w:uiPriority w:val="0"/>
    <w:qFormat/>
    <w:rPr>
      <w:rFonts w:ascii="仿宋_GB2312" w:hAnsi="宋体" w:eastAsia="仿宋_GB2312"/>
      <w:sz w:val="31"/>
      <w:szCs w:val="28"/>
    </w:rPr>
  </w:style>
  <w:style w:type="paragraph" w:styleId="1099" w:customStyle="1">
    <w:name w:val="正文缩进2格"/>
    <w:basedOn w:val="825"/>
    <w:link w:val="1098"/>
    <w:uiPriority w:val="0"/>
    <w:qFormat/>
    <w:pPr>
      <w:ind w:firstLine="639"/>
      <w:spacing w:line="600" w:lineRule="exact"/>
    </w:pPr>
    <w:rPr>
      <w:rFonts w:ascii="仿宋_GB2312" w:hAnsi="宋体" w:eastAsia="仿宋_GB2312"/>
      <w:sz w:val="31"/>
      <w:szCs w:val="28"/>
    </w:rPr>
  </w:style>
  <w:style w:type="character" w:styleId="1100" w:customStyle="1">
    <w:name w:val="cn_text1"/>
    <w:uiPriority w:val="0"/>
    <w:qFormat/>
    <w:rPr>
      <w:rFonts w:ascii="ˎ̥" w:hAnsi="ˎ̥"/>
      <w:color w:val="003399"/>
      <w:spacing w:val="15"/>
      <w:sz w:val="18"/>
      <w:szCs w:val="18"/>
    </w:rPr>
  </w:style>
  <w:style w:type="character" w:styleId="1101" w:customStyle="1">
    <w:name w:val="ssss Char"/>
    <w:uiPriority w:val="0"/>
    <w:qFormat/>
    <w:rPr>
      <w:rFonts w:eastAsia="宋体"/>
      <w:sz w:val="24"/>
      <w:szCs w:val="24"/>
      <w:lang w:val="en-US" w:eastAsia="zh-CN" w:bidi="ar-SA"/>
    </w:rPr>
  </w:style>
  <w:style w:type="character" w:styleId="1102" w:customStyle="1">
    <w:name w:val="ssss Char1"/>
    <w:link w:val="1103"/>
    <w:uiPriority w:val="0"/>
    <w:qFormat/>
    <w:rPr>
      <w:rFonts w:ascii="Times New Roman" w:hAnsi="Times New Roman" w:eastAsia="宋体"/>
      <w:sz w:val="24"/>
      <w:szCs w:val="24"/>
    </w:rPr>
  </w:style>
  <w:style w:type="paragraph" w:styleId="1103" w:customStyle="1">
    <w:name w:val="ssss"/>
    <w:basedOn w:val="825"/>
    <w:link w:val="1102"/>
    <w:uiPriority w:val="0"/>
    <w:qFormat/>
    <w:pPr>
      <w:ind w:firstLine="480"/>
      <w:spacing w:line="360" w:lineRule="auto"/>
    </w:pPr>
    <w:rPr>
      <w:sz w:val="24"/>
    </w:rPr>
  </w:style>
  <w:style w:type="character" w:styleId="1104" w:customStyle="1">
    <w:name w:val="标题 4 Char1"/>
    <w:uiPriority w:val="0"/>
    <w:qFormat/>
    <w:rPr>
      <w:rFonts w:ascii="Arial" w:hAnsi="Arial" w:eastAsia="黑体"/>
      <w:b/>
      <w:bCs/>
      <w:sz w:val="28"/>
      <w:szCs w:val="28"/>
      <w:lang w:val="en-US" w:eastAsia="zh-CN" w:bidi="ar-SA"/>
    </w:rPr>
  </w:style>
  <w:style w:type="character" w:styleId="1105" w:customStyle="1">
    <w:name w:val="列表段落 字符"/>
    <w:uiPriority w:val="0"/>
    <w:qFormat/>
    <w:rPr>
      <w:rFonts w:ascii="Calibri" w:hAnsi="Calibri"/>
      <w:sz w:val="21"/>
      <w:szCs w:val="22"/>
    </w:rPr>
  </w:style>
  <w:style w:type="character" w:styleId="1106" w:customStyle="1">
    <w:name w:val="批注框文本 Char1"/>
    <w:uiPriority w:val="0"/>
    <w:semiHidden/>
    <w:qFormat/>
    <w:rPr>
      <w:rFonts w:ascii="Times New Roman" w:hAnsi="Times New Roman" w:eastAsia="宋体"/>
      <w:sz w:val="18"/>
      <w:szCs w:val="18"/>
    </w:rPr>
  </w:style>
  <w:style w:type="character" w:styleId="1107" w:customStyle="1">
    <w:name w:val="样式 ssss + 宋体 五号1 Char"/>
    <w:link w:val="1108"/>
    <w:uiPriority w:val="0"/>
    <w:qFormat/>
    <w:rPr>
      <w:rFonts w:ascii="宋体" w:hAnsi="宋体" w:eastAsia="宋体"/>
      <w:sz w:val="24"/>
      <w:szCs w:val="24"/>
    </w:rPr>
  </w:style>
  <w:style w:type="paragraph" w:styleId="1108" w:customStyle="1">
    <w:name w:val="样式 ssss + 宋体 五号1"/>
    <w:basedOn w:val="1103"/>
    <w:link w:val="1107"/>
    <w:uiPriority w:val="0"/>
    <w:qFormat/>
    <w:rPr>
      <w:rFonts w:ascii="宋体" w:hAnsi="宋体"/>
    </w:rPr>
  </w:style>
  <w:style w:type="character" w:styleId="1109" w:customStyle="1">
    <w:name w:val="point_normal1"/>
    <w:uiPriority w:val="0"/>
    <w:qFormat/>
    <w:rPr>
      <w:rFonts w:ascii="Arial" w:hAnsi="Arial"/>
      <w:sz w:val="16"/>
      <w:szCs w:val="16"/>
    </w:rPr>
  </w:style>
  <w:style w:type="paragraph" w:styleId="1110" w:customStyle="1">
    <w:name w:val="样式 正文文本缩进 3 + 四号"/>
    <w:basedOn w:val="1073"/>
    <w:uiPriority w:val="0"/>
    <w:qFormat/>
    <w:pPr>
      <w:ind w:left="0" w:firstLine="437"/>
      <w:spacing w:after="0" w:line="360" w:lineRule="auto"/>
    </w:pPr>
    <w:rPr>
      <w:sz w:val="24"/>
      <w:szCs w:val="21"/>
    </w:rPr>
  </w:style>
  <w:style w:type="paragraph" w:styleId="1111" w:customStyle="1">
    <w:name w:val="2cxsplast"/>
    <w:basedOn w:val="825"/>
    <w:uiPriority w:val="0"/>
    <w:qFormat/>
    <w:pPr>
      <w:jc w:val="left"/>
      <w:spacing w:before="100" w:beforeAutospacing="1" w:after="100" w:afterAutospacing="1"/>
      <w:widowControl/>
    </w:pPr>
    <w:rPr>
      <w:rFonts w:ascii="宋体" w:hAnsi="宋体"/>
      <w:sz w:val="24"/>
    </w:rPr>
  </w:style>
  <w:style w:type="paragraph" w:styleId="1112" w:customStyle="1">
    <w:name w:val="ec_msonormal"/>
    <w:basedOn w:val="825"/>
    <w:uiPriority w:val="0"/>
    <w:qFormat/>
    <w:pPr>
      <w:jc w:val="left"/>
      <w:spacing w:before="100" w:beforeAutospacing="1" w:after="100" w:afterAutospacing="1"/>
      <w:widowControl/>
    </w:pPr>
    <w:rPr>
      <w:rFonts w:ascii="宋体" w:hAnsi="宋体"/>
      <w:sz w:val="24"/>
    </w:rPr>
  </w:style>
  <w:style w:type="paragraph" w:styleId="1113" w:customStyle="1">
    <w:name w:val="Char Char Char Char"/>
    <w:basedOn w:val="825"/>
    <w:uiPriority w:val="0"/>
    <w:qFormat/>
    <w:rPr>
      <w:rFonts w:ascii="Tahoma" w:hAnsi="Tahoma"/>
      <w:sz w:val="24"/>
      <w:szCs w:val="20"/>
    </w:rPr>
  </w:style>
  <w:style w:type="paragraph" w:styleId="1114" w:customStyle="1">
    <w:name w:val="Char Char Char Char Char Char Char Char Char Char Char Char Char"/>
    <w:basedOn w:val="825"/>
    <w:uiPriority w:val="0"/>
    <w:qFormat/>
  </w:style>
  <w:style w:type="paragraph" w:styleId="1115" w:customStyle="1">
    <w:name w:val="表格正文"/>
    <w:basedOn w:val="825"/>
    <w:uiPriority w:val="0"/>
    <w:qFormat/>
    <w:pPr>
      <w:jc w:val="left"/>
      <w:spacing w:line="360" w:lineRule="auto"/>
    </w:pPr>
    <w:rPr>
      <w:rFonts w:ascii="Calibri" w:hAnsi="Calibri"/>
      <w:color w:val="000000"/>
      <w:szCs w:val="28"/>
    </w:rPr>
  </w:style>
  <w:style w:type="paragraph" w:styleId="1116"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17" w:customStyle="1">
    <w:name w:val="Char Char Char Char1"/>
    <w:basedOn w:val="825"/>
    <w:uiPriority w:val="0"/>
    <w:qFormat/>
    <w:rPr>
      <w:rFonts w:ascii="Tahoma" w:hAnsi="Tahoma"/>
      <w:sz w:val="24"/>
      <w:szCs w:val="20"/>
    </w:rPr>
  </w:style>
  <w:style w:type="paragraph" w:styleId="1118" w:customStyle="1">
    <w:name w:val="Char Char Char"/>
    <w:basedOn w:val="825"/>
    <w:uiPriority w:val="0"/>
    <w:qFormat/>
    <w:rPr>
      <w:rFonts w:ascii="Tahoma" w:hAnsi="Tahoma"/>
      <w:sz w:val="24"/>
      <w:szCs w:val="20"/>
    </w:rPr>
  </w:style>
  <w:style w:type="paragraph" w:styleId="1119" w:customStyle="1">
    <w:name w:val="标题-----3"/>
    <w:basedOn w:val="1024"/>
    <w:uiPriority w:val="0"/>
    <w:qFormat/>
    <w:pPr>
      <w:spacing w:before="0" w:after="0" w:line="240" w:lineRule="auto"/>
      <w:outlineLvl w:val="0"/>
    </w:pPr>
    <w:rPr>
      <w:rFonts w:ascii="宋体" w:hAnsi="宋体"/>
      <w:b w:val="0"/>
      <w:bCs w:val="0"/>
      <w:sz w:val="28"/>
      <w:szCs w:val="28"/>
    </w:rPr>
  </w:style>
  <w:style w:type="paragraph" w:styleId="1120" w:customStyle="1">
    <w:name w:val="样式 ssss + 居中"/>
    <w:basedOn w:val="1103"/>
    <w:uiPriority w:val="0"/>
    <w:qFormat/>
    <w:pPr>
      <w:jc w:val="center"/>
    </w:pPr>
    <w:rPr>
      <w:szCs w:val="20"/>
    </w:rPr>
  </w:style>
  <w:style w:type="paragraph" w:styleId="1121" w:customStyle="1">
    <w:name w:val="样式 宋体 四号 黑色 左侧:  0.74 厘米 首行缩进:  0.74 厘米 行距: 1.5 倍行距"/>
    <w:basedOn w:val="825"/>
    <w:uiPriority w:val="0"/>
    <w:qFormat/>
    <w:pPr>
      <w:ind w:firstLine="420"/>
      <w:spacing w:line="360" w:lineRule="auto"/>
    </w:pPr>
    <w:rPr>
      <w:rFonts w:ascii="宋体"/>
      <w:color w:val="000000"/>
      <w:sz w:val="24"/>
      <w:szCs w:val="21"/>
    </w:rPr>
  </w:style>
  <w:style w:type="paragraph" w:styleId="1122" w:customStyle="1">
    <w:name w:val="样式 样式 ssss + 宋体 五号 + 首行缩进:  2 字符"/>
    <w:basedOn w:val="1123"/>
    <w:uiPriority w:val="0"/>
    <w:qFormat/>
    <w:pPr>
      <w:ind w:firstLine="480"/>
    </w:pPr>
  </w:style>
  <w:style w:type="paragraph" w:styleId="1123" w:customStyle="1">
    <w:name w:val="样式 ssss + 宋体 五号"/>
    <w:basedOn w:val="1103"/>
    <w:uiPriority w:val="0"/>
    <w:qFormat/>
    <w:pPr>
      <w:ind w:firstLine="420"/>
    </w:pPr>
    <w:rPr>
      <w:rFonts w:ascii="宋体" w:hAnsi="宋体"/>
      <w:szCs w:val="20"/>
    </w:rPr>
  </w:style>
  <w:style w:type="paragraph" w:styleId="1124" w:customStyle="1">
    <w:name w:val="msonormalcxsplast"/>
    <w:basedOn w:val="825"/>
    <w:uiPriority w:val="0"/>
    <w:qFormat/>
    <w:pPr>
      <w:jc w:val="left"/>
      <w:spacing w:before="100" w:beforeAutospacing="1" w:after="100" w:afterAutospacing="1"/>
      <w:widowControl/>
    </w:pPr>
    <w:rPr>
      <w:rFonts w:ascii="宋体" w:hAnsi="宋体"/>
      <w:sz w:val="24"/>
    </w:rPr>
  </w:style>
  <w:style w:type="paragraph" w:styleId="1125" w:customStyle="1">
    <w:name w:val="Char"/>
    <w:basedOn w:val="825"/>
    <w:uiPriority w:val="0"/>
    <w:qFormat/>
    <w:rPr>
      <w:rFonts w:ascii="Tahoma" w:hAnsi="Tahoma"/>
      <w:sz w:val="24"/>
      <w:szCs w:val="20"/>
    </w:rPr>
  </w:style>
  <w:style w:type="paragraph" w:styleId="1126" w:customStyle="1">
    <w:name w:val="xl25"/>
    <w:basedOn w:val="82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7" w:customStyle="1">
    <w:name w:val="标题------4"/>
    <w:basedOn w:val="1025"/>
    <w:uiPriority w:val="0"/>
    <w:qFormat/>
    <w:pPr>
      <w:ind w:left="960" w:hanging="420"/>
      <w:jc w:val="both"/>
      <w:keepLines/>
      <w:spacing w:line="360" w:lineRule="auto"/>
    </w:pPr>
    <w:rPr>
      <w:rFonts w:ascii="仿宋_GB2312" w:hAnsi="宋体" w:eastAsia="仿宋_GB2312"/>
      <w:b/>
      <w:sz w:val="28"/>
      <w:szCs w:val="28"/>
      <w:lang w:val="zh-CN"/>
    </w:rPr>
  </w:style>
  <w:style w:type="paragraph" w:styleId="1128" w:customStyle="1">
    <w:name w:val="msonormalcxspmiddle"/>
    <w:basedOn w:val="825"/>
    <w:uiPriority w:val="0"/>
    <w:qFormat/>
    <w:pPr>
      <w:jc w:val="left"/>
      <w:spacing w:before="100" w:beforeAutospacing="1" w:after="100" w:afterAutospacing="1"/>
      <w:widowControl/>
    </w:pPr>
    <w:rPr>
      <w:rFonts w:ascii="宋体" w:hAnsi="宋体"/>
      <w:sz w:val="24"/>
    </w:rPr>
  </w:style>
  <w:style w:type="paragraph" w:styleId="1129" w:customStyle="1">
    <w:name w:val="Char Char Char Char Char Char Char Char Char Char Char Char Char1"/>
    <w:basedOn w:val="825"/>
    <w:uiPriority w:val="0"/>
    <w:qFormat/>
    <w:rPr>
      <w:sz w:val="24"/>
    </w:rPr>
  </w:style>
  <w:style w:type="paragraph" w:styleId="1130" w:customStyle="1">
    <w:name w:val="表格"/>
    <w:basedOn w:val="825"/>
    <w:uiPriority w:val="0"/>
    <w:qFormat/>
    <w:rPr>
      <w:rFonts w:ascii="Arial" w:hAnsi="Arial"/>
      <w:sz w:val="24"/>
    </w:rPr>
  </w:style>
  <w:style w:type="paragraph" w:styleId="1131" w:customStyle="1">
    <w:name w:val="正文样式1"/>
    <w:basedOn w:val="825"/>
    <w:uiPriority w:val="0"/>
    <w:qFormat/>
    <w:pPr>
      <w:ind w:firstLine="480"/>
      <w:spacing w:before="120" w:after="120" w:line="360" w:lineRule="auto"/>
    </w:pPr>
    <w:rPr>
      <w:sz w:val="24"/>
      <w:szCs w:val="20"/>
    </w:rPr>
  </w:style>
  <w:style w:type="paragraph" w:styleId="1132" w:customStyle="1">
    <w:name w:val="Char Char1 Char Char Char Char Char Char"/>
    <w:basedOn w:val="825"/>
    <w:uiPriority w:val="0"/>
    <w:qFormat/>
    <w:pPr>
      <w:jc w:val="left"/>
      <w:spacing w:after="160" w:line="240" w:lineRule="exact"/>
      <w:widowControl/>
    </w:pPr>
    <w:rPr>
      <w:rFonts w:ascii="Verdana" w:hAnsi="Verdana" w:eastAsia="仿宋_GB2312"/>
      <w:sz w:val="24"/>
      <w:szCs w:val="20"/>
      <w:lang w:eastAsia="en-US"/>
    </w:rPr>
  </w:style>
  <w:style w:type="paragraph" w:styleId="1133" w:customStyle="1">
    <w:name w:val="Char Char Char Char Char Char Char Char Char Char"/>
    <w:basedOn w:val="825"/>
    <w:uiPriority w:val="0"/>
    <w:qFormat/>
    <w:rPr>
      <w:rFonts w:ascii="Tahoma" w:hAnsi="Tahoma"/>
      <w:sz w:val="24"/>
      <w:szCs w:val="20"/>
    </w:rPr>
  </w:style>
  <w:style w:type="paragraph" w:styleId="1134" w:customStyle="1">
    <w:name w:val="Char1"/>
    <w:basedOn w:val="825"/>
    <w:uiPriority w:val="0"/>
    <w:qFormat/>
    <w:pPr>
      <w:tabs>
        <w:tab w:val="left" w:pos="360" w:leader="none"/>
      </w:tabs>
    </w:pPr>
    <w:rPr>
      <w:sz w:val="24"/>
    </w:rPr>
  </w:style>
  <w:style w:type="paragraph" w:styleId="1135" w:customStyle="1">
    <w:name w:val="标题1"/>
    <w:basedOn w:val="8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customStyle="1">
    <w:name w:val="Header2"/>
    <w:basedOn w:val="825"/>
    <w:uiPriority w:val="0"/>
    <w:qFormat/>
    <w:pPr>
      <w:numPr>
        <w:ilvl w:val="0"/>
        <w:numId w:val="1"/>
      </w:numPr>
      <w:tabs>
        <w:tab w:val="clear" w:pos="480" w:leader="none"/>
      </w:tabs>
    </w:pPr>
  </w:style>
  <w:style w:type="paragraph" w:styleId="1137" w:customStyle="1">
    <w:name w:val="Char Char 字元 字元 字元 Char Char Char Char"/>
    <w:basedOn w:val="825"/>
    <w:uiPriority w:val="0"/>
    <w:qFormat/>
    <w:pPr>
      <w:spacing w:line="360" w:lineRule="auto"/>
    </w:pPr>
    <w:rPr>
      <w:sz w:val="24"/>
      <w:szCs w:val="20"/>
    </w:rPr>
  </w:style>
  <w:style w:type="paragraph" w:styleId="1138" w:customStyle="1">
    <w:name w:val="2cxspmiddle"/>
    <w:basedOn w:val="825"/>
    <w:uiPriority w:val="0"/>
    <w:qFormat/>
    <w:pPr>
      <w:jc w:val="left"/>
      <w:spacing w:before="100" w:beforeAutospacing="1" w:after="100" w:afterAutospacing="1"/>
      <w:widowControl/>
    </w:pPr>
    <w:rPr>
      <w:rFonts w:ascii="宋体" w:hAnsi="宋体"/>
      <w:sz w:val="24"/>
    </w:rPr>
  </w:style>
  <w:style w:type="paragraph" w:styleId="113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141" w:customStyle="1">
    <w:name w:val="网格型1"/>
    <w:basedOn w:val="1032"/>
    <w:uiPriority w:val="0"/>
    <w:qFormat/>
    <w:rPr>
      <w:rFonts w:ascii="等线" w:hAnsi="等线" w:eastAsia="等线"/>
      <w:sz w:val="21"/>
      <w:szCs w:val="22"/>
    </w:rPr>
    <w:tblPr>
      <w:tblCellMar>
        <w:left w:w="0" w:type="dxa"/>
        <w:top w:w="0" w:type="dxa"/>
        <w:right w:w="0" w:type="dxa"/>
        <w:bottom w:w="0" w:type="dxa"/>
      </w:tblCellMar>
    </w:tblPr>
  </w:style>
  <w:style w:type="paragraph" w:styleId="1142" w:customStyle="1">
    <w:name w:val="列出段落1"/>
    <w:basedOn w:val="825"/>
    <w:uiPriority w:val="0"/>
    <w:qFormat/>
    <w:pPr>
      <w:contextualSpacing/>
      <w:ind w:left="720"/>
      <w:jc w:val="left"/>
      <w:widowControl/>
    </w:pPr>
    <w:rPr>
      <w:sz w:val="24"/>
      <w:lang w:eastAsia="en-US" w:bidi="en-US"/>
    </w:rPr>
  </w:style>
  <w:style w:type="paragraph" w:styleId="1143" w:customStyle="1">
    <w:name w:val="DAS正文"/>
    <w:basedOn w:val="825"/>
    <w:uiPriority w:val="0"/>
    <w:qFormat/>
    <w:pPr>
      <w:ind w:right="181" w:firstLine="480"/>
      <w:spacing w:line="360" w:lineRule="auto"/>
    </w:pPr>
    <w:rPr>
      <w:rFonts w:ascii="Verdana" w:hAnsi="Verdana"/>
      <w:sz w:val="24"/>
      <w:szCs w:val="20"/>
    </w:rPr>
  </w:style>
  <w:style w:type="paragraph" w:styleId="1144" w:customStyle="1">
    <w:name w:val="普通(网站) Char"/>
    <w:basedOn w:val="825"/>
    <w:uiPriority w:val="0"/>
    <w:qFormat/>
    <w:pPr>
      <w:jc w:val="left"/>
      <w:spacing w:before="100" w:beforeAutospacing="1" w:after="100" w:afterAutospacing="1"/>
      <w:widowControl/>
    </w:pPr>
    <w:rPr>
      <w:rFonts w:ascii="宋体" w:hAnsi="宋体"/>
      <w:sz w:val="24"/>
    </w:rPr>
  </w:style>
  <w:style w:type="paragraph" w:styleId="1145" w:customStyle="1">
    <w:name w:val="无间隔2"/>
    <w:uiPriority w:val="0"/>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46" w:customStyle="1">
    <w:name w:val="首行缩进"/>
    <w:basedOn w:val="825"/>
    <w:uiPriority w:val="0"/>
    <w:qFormat/>
    <w:pPr>
      <w:ind w:firstLine="480"/>
    </w:pPr>
    <w:rPr>
      <w:rFonts w:ascii="等线" w:hAnsi="等线" w:eastAsia="等线"/>
      <w:szCs w:val="22"/>
      <w:lang w:val="zh-CN"/>
    </w:rPr>
  </w:style>
  <w:style w:type="paragraph" w:styleId="1147" w:customStyle="1">
    <w:name w:val="p0"/>
    <w:basedOn w:val="825"/>
    <w:uiPriority w:val="0"/>
    <w:qFormat/>
    <w:pPr>
      <w:widowControl/>
    </w:pPr>
    <w:rPr>
      <w:sz w:val="20"/>
      <w:szCs w:val="21"/>
      <w:lang w:val="zh-CN"/>
    </w:rPr>
  </w:style>
  <w:style w:type="paragraph" w:styleId="1148" w:customStyle="1">
    <w:name w:val="Table Text"/>
    <w:basedOn w:val="825"/>
    <w:uiPriority w:val="0"/>
    <w:semiHidden/>
    <w:qFormat/>
    <w:rPr>
      <w:rFonts w:ascii="仿宋" w:hAnsi="仿宋" w:eastAsia="仿宋"/>
      <w:sz w:val="24"/>
      <w:lang w:eastAsia="en-US"/>
    </w:rPr>
  </w:style>
  <w:style w:type="table" w:styleId="1149" w:customStyle="1">
    <w:name w:val="Table Normal"/>
    <w:uiPriority w:val="0"/>
    <w:qFormat/>
    <w:tblPr>
      <w:tblCellMar>
        <w:left w:w="0" w:type="dxa"/>
        <w:top w:w="0" w:type="dxa"/>
        <w:right w:w="0" w:type="dxa"/>
        <w:bottom w:w="0" w:type="dxa"/>
      </w:tblCellMar>
    </w:tblPr>
  </w:style>
  <w:style w:type="character" w:styleId="1150" w:customStyle="1">
    <w:name w:val="NormalCharacter"/>
    <w:uiPriority w:val="0"/>
    <w:qFormat/>
  </w:style>
  <w:style w:type="character" w:styleId="1151" w:customStyle="1">
    <w:name w:val="font31"/>
    <w:uiPriority w:val="0"/>
    <w:qFormat/>
    <w:rPr>
      <w:rFonts w:ascii="Times New Roman Regular" w:hAnsi="Times New Roman Regular" w:eastAsia="Times New Roman Regular"/>
      <w:color w:val="000000"/>
      <w:sz w:val="24"/>
      <w:szCs w:val="24"/>
      <w:u w:val="none"/>
    </w:rPr>
  </w:style>
  <w:style w:type="character" w:styleId="1152" w:customStyle="1">
    <w:name w:val="font91"/>
    <w:uiPriority w:val="0"/>
    <w:qFormat/>
    <w:rPr>
      <w:rFonts w:ascii="Times New Roman" w:hAnsi="Times New Roman"/>
      <w:color w:val="000000"/>
      <w:sz w:val="20"/>
      <w:szCs w:val="20"/>
      <w:u w:val="none"/>
    </w:rPr>
  </w:style>
  <w:style w:type="character" w:styleId="1153" w:customStyle="1">
    <w:name w:val="font11"/>
    <w:uiPriority w:val="0"/>
    <w:qFormat/>
    <w:rPr>
      <w:rFonts w:hint="eastAsia" w:ascii="宋体" w:hAnsi="宋体" w:eastAsia="宋体"/>
      <w:color w:val="000000"/>
      <w:sz w:val="20"/>
      <w:szCs w:val="20"/>
      <w:u w:val="none"/>
    </w:rPr>
  </w:style>
  <w:style w:type="character" w:styleId="1154" w:customStyle="1">
    <w:name w:val="font101"/>
    <w:uiPriority w:val="0"/>
    <w:qFormat/>
    <w:rPr>
      <w:rFonts w:ascii="Arial" w:hAnsi="Arial"/>
      <w:color w:val="000000"/>
      <w:sz w:val="20"/>
      <w:szCs w:val="20"/>
      <w:u w:val="none"/>
    </w:rPr>
  </w:style>
  <w:style w:type="character" w:styleId="1155" w:customStyle="1">
    <w:name w:val="font291"/>
    <w:uiPriority w:val="0"/>
    <w:qFormat/>
    <w:rPr>
      <w:rFonts w:hint="eastAsia" w:ascii="宋体" w:hAnsi="宋体" w:eastAsia="宋体"/>
      <w:color w:val="000000"/>
      <w:sz w:val="20"/>
      <w:szCs w:val="20"/>
      <w:u w:val="none"/>
    </w:rPr>
  </w:style>
  <w:style w:type="character" w:styleId="1156" w:customStyle="1">
    <w:name w:val="font61"/>
    <w:uiPriority w:val="0"/>
    <w:qFormat/>
    <w:rPr>
      <w:rFonts w:hint="eastAsia" w:ascii="等线" w:hAnsi="等线" w:eastAsia="等线"/>
      <w:color w:val="000000"/>
      <w:sz w:val="20"/>
      <w:szCs w:val="20"/>
      <w:u w:val="none"/>
    </w:rPr>
  </w:style>
  <w:style w:type="character" w:styleId="1157" w:customStyle="1">
    <w:name w:val="font71"/>
    <w:uiPriority w:val="0"/>
    <w:qFormat/>
    <w:rPr>
      <w:rFonts w:hint="eastAsia" w:ascii="宋体" w:hAnsi="宋体" w:eastAsia="宋体"/>
      <w:color w:val="000000"/>
      <w:sz w:val="20"/>
      <w:szCs w:val="20"/>
      <w:u w:val="none"/>
    </w:rPr>
  </w:style>
  <w:style w:type="character" w:styleId="1158" w:customStyle="1">
    <w:name w:val="font41"/>
    <w:uiPriority w:val="0"/>
    <w:qFormat/>
    <w:rPr>
      <w:rFonts w:ascii="Times New Roman Regular" w:hAnsi="Times New Roman Regular" w:eastAsia="Times New Roman Regular"/>
      <w:color w:val="000000"/>
      <w:sz w:val="20"/>
      <w:szCs w:val="20"/>
      <w:u w:val="none"/>
    </w:rPr>
  </w:style>
  <w:style w:type="character" w:styleId="1159" w:customStyle="1">
    <w:name w:val="font301"/>
    <w:uiPriority w:val="0"/>
    <w:qFormat/>
    <w:rPr>
      <w:rFonts w:ascii="Times New Roman Regular" w:hAnsi="Times New Roman Regular" w:eastAsia="Times New Roman Regular"/>
      <w:color w:val="000000"/>
      <w:sz w:val="20"/>
      <w:szCs w:val="20"/>
      <w:u w:val="none"/>
    </w:rPr>
  </w:style>
  <w:style w:type="character" w:styleId="1160" w:customStyle="1">
    <w:name w:val="font81"/>
    <w:uiPriority w:val="0"/>
    <w:qFormat/>
    <w:rPr>
      <w:rFonts w:hint="eastAsia" w:ascii="宋体" w:hAnsi="宋体" w:eastAsia="宋体"/>
      <w:color w:val="000000"/>
      <w:sz w:val="20"/>
      <w:szCs w:val="20"/>
      <w:u w:val="none"/>
    </w:rPr>
  </w:style>
  <w:style w:type="character" w:styleId="1161" w:customStyle="1">
    <w:name w:val="font112"/>
    <w:uiPriority w:val="0"/>
    <w:qFormat/>
    <w:rPr>
      <w:rFonts w:hint="eastAsia" w:ascii="等线" w:hAnsi="等线" w:eastAsia="等线"/>
      <w:color w:val="000000"/>
      <w:sz w:val="20"/>
      <w:szCs w:val="20"/>
      <w:u w:val="none"/>
    </w:rPr>
  </w:style>
  <w:style w:type="character" w:styleId="1162" w:customStyle="1">
    <w:name w:val="font312"/>
    <w:uiPriority w:val="0"/>
    <w:qFormat/>
    <w:rPr>
      <w:rFonts w:ascii="Arial" w:hAnsi="Arial"/>
      <w:color w:val="000000"/>
      <w:sz w:val="20"/>
      <w:szCs w:val="20"/>
      <w:u w:val="none"/>
    </w:rPr>
  </w:style>
  <w:style w:type="character" w:styleId="1163" w:customStyle="1">
    <w:name w:val="font321"/>
    <w:uiPriority w:val="0"/>
    <w:qFormat/>
    <w:rPr>
      <w:rFonts w:ascii="微软雅黑" w:hAnsi="微软雅黑" w:eastAsia="微软雅黑"/>
      <w:color w:val="000000"/>
      <w:sz w:val="20"/>
      <w:szCs w:val="20"/>
      <w:u w:val="none"/>
    </w:rPr>
  </w:style>
  <w:style w:type="character" w:styleId="1164" w:customStyle="1">
    <w:name w:val="font151"/>
    <w:uiPriority w:val="0"/>
    <w:qFormat/>
    <w:rPr>
      <w:rFonts w:hint="eastAsia" w:ascii="宋体" w:hAnsi="宋体" w:eastAsia="宋体"/>
      <w:color w:val="000000"/>
      <w:sz w:val="22"/>
      <w:szCs w:val="22"/>
      <w:u w:val="none"/>
    </w:rPr>
  </w:style>
  <w:style w:type="character" w:styleId="1165" w:customStyle="1">
    <w:name w:val="font121"/>
    <w:uiPriority w:val="0"/>
    <w:qFormat/>
    <w:rPr>
      <w:rFonts w:hint="eastAsia" w:ascii="宋体" w:hAnsi="宋体" w:eastAsia="宋体"/>
      <w:b/>
      <w:bCs/>
      <w:color w:val="000000"/>
      <w:sz w:val="20"/>
      <w:szCs w:val="20"/>
      <w:u w:val="none"/>
    </w:rPr>
  </w:style>
  <w:style w:type="character" w:styleId="1166" w:customStyle="1">
    <w:name w:val="font21"/>
    <w:uiPriority w:val="0"/>
    <w:qFormat/>
    <w:rPr>
      <w:rFonts w:hint="eastAsia" w:ascii="宋体" w:hAnsi="宋体" w:eastAsia="宋体"/>
      <w:b/>
      <w:bCs/>
      <w:color w:val="000000"/>
      <w:sz w:val="24"/>
      <w:szCs w:val="24"/>
      <w:u w:val="none"/>
    </w:rPr>
  </w:style>
  <w:style w:type="character" w:styleId="1167" w:customStyle="1">
    <w:name w:val="font131"/>
    <w:uiPriority w:val="0"/>
    <w:qFormat/>
    <w:rPr>
      <w:rFonts w:ascii="宋体" w:hAnsi="宋体" w:eastAsia="宋体"/>
      <w:b/>
      <w:bCs/>
      <w:color w:val="000000"/>
      <w:sz w:val="24"/>
      <w:szCs w:val="24"/>
      <w:u w:val="none"/>
    </w:rPr>
  </w:style>
  <w:style w:type="character" w:styleId="1168" w:customStyle="1">
    <w:name w:val="font141"/>
    <w:uiPriority w:val="0"/>
    <w:qFormat/>
    <w:rPr>
      <w:rFonts w:ascii="微软雅黑" w:hAnsi="微软雅黑" w:eastAsia="微软雅黑"/>
      <w:color w:val="000000"/>
      <w:sz w:val="24"/>
      <w:szCs w:val="24"/>
      <w:u w:val="none"/>
    </w:rPr>
  </w:style>
  <w:style w:type="paragraph" w:styleId="1169" w:customStyle="1">
    <w:name w:val="标题 41"/>
    <w:basedOn w:val="825"/>
    <w:uiPriority w:val="0"/>
    <w:qFormat/>
    <w:pPr>
      <w:jc w:val="center"/>
      <w:keepNext/>
      <w:outlineLvl w:val="3"/>
    </w:pPr>
    <w:rPr>
      <w:rFonts w:eastAsia="新宋体"/>
      <w:sz w:val="30"/>
      <w:szCs w:val="21"/>
    </w:rPr>
  </w:style>
  <w:style w:type="paragraph" w:styleId="1170" w:customStyle="1">
    <w:name w:val="样式1"/>
    <w:basedOn w:val="825"/>
    <w:uiPriority w:val="0"/>
    <w:qFormat/>
    <w:pPr>
      <w:jc w:val="center"/>
    </w:pPr>
    <w:rPr>
      <w:szCs w:val="21"/>
    </w:rPr>
  </w:style>
  <w:style w:type="paragraph" w:styleId="1171" w:customStyle="1">
    <w:name w:val="正文+首行缩进2字符"/>
    <w:basedOn w:val="825"/>
    <w:uiPriority w:val="0"/>
    <w:qFormat/>
    <w:pPr>
      <w:ind w:firstLine="480"/>
    </w:pPr>
  </w:style>
  <w:style w:type="paragraph" w:styleId="1172" w:customStyle="1">
    <w:name w:val="正文文本2"/>
    <w:basedOn w:val="825"/>
    <w:uiPriority w:val="0"/>
    <w:qFormat/>
    <w:pPr>
      <w:spacing w:line="400" w:lineRule="exact"/>
    </w:pPr>
    <w:rPr>
      <w:rFonts w:ascii="楷体_GB2312"/>
      <w:sz w:val="28"/>
    </w:rPr>
  </w:style>
  <w:style w:type="paragraph" w:styleId="1173" w:customStyle="1">
    <w:name w:val="页眉1"/>
    <w:basedOn w:val="825"/>
    <w:uiPriority w:val="0"/>
    <w:qFormat/>
    <w:pPr>
      <w:jc w:val="center"/>
      <w:tabs>
        <w:tab w:val="center" w:pos="4153" w:leader="none"/>
        <w:tab w:val="right" w:pos="8306" w:leader="none"/>
      </w:tabs>
      <w:pBdr>
        <w:bottom w:val="single" w:color="000000" w:sz="6" w:space="1"/>
      </w:pBdr>
    </w:pPr>
    <w:rPr>
      <w:sz w:val="18"/>
      <w:szCs w:val="18"/>
    </w:rPr>
  </w:style>
  <w:style w:type="paragraph" w:styleId="1174" w:customStyle="1">
    <w:name w:val="页脚1"/>
    <w:basedOn w:val="825"/>
    <w:uiPriority w:val="0"/>
    <w:qFormat/>
    <w:pPr>
      <w:jc w:val="left"/>
      <w:tabs>
        <w:tab w:val="center" w:pos="4153" w:leader="none"/>
        <w:tab w:val="right" w:pos="8306" w:leader="none"/>
      </w:tabs>
    </w:pPr>
    <w:rPr>
      <w:sz w:val="18"/>
      <w:szCs w:val="18"/>
    </w:rPr>
  </w:style>
  <w:style w:type="paragraph" w:styleId="1175" w:customStyle="1">
    <w:name w:val="标题二级"/>
    <w:basedOn w:val="825"/>
    <w:uiPriority w:val="0"/>
    <w:qFormat/>
    <w:pPr>
      <w:ind w:firstLine="412"/>
      <w:spacing w:after="160" w:line="259" w:lineRule="auto"/>
    </w:pPr>
    <w:rPr>
      <w:rFonts w:ascii="宋体" w:hAnsi="宋体"/>
      <w:szCs w:val="21"/>
    </w:rPr>
  </w:style>
  <w:style w:type="paragraph" w:styleId="1176" w:customStyle="1">
    <w:name w:val="纯文本1"/>
    <w:basedOn w:val="825"/>
    <w:uiPriority w:val="0"/>
    <w:qFormat/>
    <w:rPr>
      <w:rFonts w:ascii="宋体" w:hAnsi="Courier New"/>
    </w:rPr>
  </w:style>
  <w:style w:type="character" w:styleId="1177" w:customStyle="1">
    <w:name w:val="页眉 Char"/>
    <w:basedOn w:val="835"/>
    <w:link w:val="849"/>
    <w:uiPriority w:val="0"/>
    <w:qFormat/>
    <w:rPr>
      <w:sz w:val="18"/>
      <w:szCs w:val="18"/>
    </w:rPr>
  </w:style>
  <w:style w:type="character" w:styleId="1178" w:customStyle="1">
    <w:name w:val="页脚 Char"/>
    <w:basedOn w:val="835"/>
    <w:link w:val="848"/>
    <w:uiPriority w:val="0"/>
    <w:qFormat/>
    <w:rPr>
      <w:sz w:val="18"/>
      <w:szCs w:val="18"/>
    </w:rPr>
  </w:style>
  <w:style w:type="paragraph" w:styleId="1179" w:customStyle="1">
    <w:name w:val="sh4"/>
    <w:basedOn w:val="825"/>
    <w:uiPriority w:val="0"/>
    <w:qFormat/>
    <w:pPr>
      <w:ind w:firstLine="420"/>
      <w:spacing w:line="460" w:lineRule="exact"/>
    </w:pPr>
    <w:rPr>
      <w:rFonts w:ascii="宋体" w:hAnsi="宋体"/>
      <w:szCs w:val="21"/>
    </w:rPr>
  </w:style>
  <w:style w:type="character" w:styleId="1180" w:customStyle="1">
    <w:name w:val="批注框文本 Char"/>
    <w:basedOn w:val="835"/>
    <w:link w:val="847"/>
    <w:uiPriority w:val="99"/>
    <w:semiHidden/>
    <w:qFormat/>
    <w:rPr>
      <w:sz w:val="18"/>
      <w:szCs w:val="18"/>
    </w:rPr>
  </w:style>
  <w:style w:type="character" w:styleId="1181" w:customStyle="1">
    <w:name w:val="批注文字 Char"/>
    <w:basedOn w:val="835"/>
    <w:link w:val="839"/>
    <w:uiPriority w:val="0"/>
    <w:semiHidden/>
    <w:qFormat/>
    <w:rPr>
      <w:sz w:val="21"/>
      <w:szCs w:val="24"/>
    </w:rPr>
  </w:style>
  <w:style w:type="character" w:styleId="1182" w:customStyle="1">
    <w:name w:val="批注主题 Char"/>
    <w:basedOn w:val="1181"/>
    <w:link w:val="860"/>
    <w:uiPriority w:val="0"/>
    <w:qFormat/>
    <w:rPr>
      <w:sz w:val="21"/>
      <w:szCs w:val="24"/>
    </w:rPr>
  </w:style>
  <w:style w:type="paragraph" w:styleId="1183" w:customStyle="1">
    <w:name w:val="_Style 3"/>
    <w:basedOn w:val="825"/>
    <w:next w:val="883"/>
    <w:uiPriority w:val="34"/>
    <w:qFormat/>
    <w:pPr>
      <w:ind w:firstLine="420"/>
    </w:p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34</cp:revision>
  <dcterms:created xsi:type="dcterms:W3CDTF">2025-07-23T07:44:00Z</dcterms:created>
  <dcterms:modified xsi:type="dcterms:W3CDTF">2025-12-01T09:24:40Z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2052-12.1.0.23542</vt:lpwstr>
  </property>
  <property fmtid="{D5CDD505-2E9C-101B-9397-08002B2CF9AE}" pid="4" name="ICV">
    <vt:lpwstr>F920F2F92A9848A6B34F5B50EAC1CD9D_13</vt:lpwstr>
  </property>
</Properties>
</file>